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6F1393" w14:textId="77777777" w:rsidR="0007496B" w:rsidRPr="00B669A0" w:rsidRDefault="0007496B" w:rsidP="0007496B">
      <w:pPr>
        <w:spacing w:after="0"/>
        <w:jc w:val="center"/>
        <w:rPr>
          <w:b/>
          <w:bCs/>
          <w:lang w:val="en-GB"/>
        </w:rPr>
      </w:pPr>
      <w:r w:rsidRPr="00B669A0">
        <w:rPr>
          <w:b/>
          <w:bCs/>
          <w:lang w:val="en-GB"/>
        </w:rPr>
        <w:t>TARGETED STAKEHOLDER CONSULTATION 2021 RULE OF LAW REPORT</w:t>
      </w:r>
    </w:p>
    <w:p w14:paraId="6A4EAED7" w14:textId="0A57EBF2" w:rsidR="0007496B" w:rsidRDefault="0007496B" w:rsidP="0007496B">
      <w:pPr>
        <w:spacing w:after="0"/>
        <w:jc w:val="center"/>
        <w:rPr>
          <w:b/>
          <w:bCs/>
          <w:lang w:val="en-AU"/>
        </w:rPr>
      </w:pPr>
      <w:r w:rsidRPr="00B669A0">
        <w:rPr>
          <w:b/>
          <w:bCs/>
          <w:lang w:val="en-AU"/>
        </w:rPr>
        <w:t>UN HUMAN RIGHTS REGIONAL OFFICE FOR EUROPE (OHCHR)</w:t>
      </w:r>
    </w:p>
    <w:p w14:paraId="0C6B9BC5" w14:textId="77777777" w:rsidR="00E86159" w:rsidRDefault="00E86159" w:rsidP="00033248">
      <w:pPr>
        <w:pStyle w:val="Heading1"/>
        <w:pBdr>
          <w:top w:val="single" w:sz="4" w:space="1" w:color="auto"/>
        </w:pBdr>
        <w:spacing w:before="27"/>
        <w:ind w:hanging="464"/>
        <w:rPr>
          <w:lang w:val="en-AU"/>
        </w:rPr>
      </w:pPr>
    </w:p>
    <w:p w14:paraId="2035280D" w14:textId="52F497AD" w:rsidR="00033248" w:rsidRPr="00561516" w:rsidRDefault="00033248" w:rsidP="00033248">
      <w:pPr>
        <w:pStyle w:val="Heading1"/>
        <w:pBdr>
          <w:top w:val="single" w:sz="4" w:space="1" w:color="auto"/>
        </w:pBdr>
        <w:spacing w:before="27"/>
        <w:ind w:hanging="464"/>
      </w:pPr>
      <w:r w:rsidRPr="00C3343A">
        <w:rPr>
          <w:lang w:val="en-AU"/>
        </w:rPr>
        <w:t xml:space="preserve">REVIEW </w:t>
      </w:r>
      <w:r>
        <w:rPr>
          <w:lang w:val="en-AU"/>
        </w:rPr>
        <w:t>NETHERLANDS</w:t>
      </w:r>
    </w:p>
    <w:p w14:paraId="148F4D46" w14:textId="77777777" w:rsidR="00561516" w:rsidRPr="00C3343A" w:rsidRDefault="00561516" w:rsidP="0007496B">
      <w:pPr>
        <w:spacing w:after="0"/>
        <w:jc w:val="center"/>
        <w:rPr>
          <w:b/>
          <w:bCs/>
          <w:lang w:val="en-AU"/>
        </w:rPr>
      </w:pPr>
    </w:p>
    <w:p w14:paraId="0C89529F" w14:textId="77777777" w:rsidR="0007496B" w:rsidRDefault="0007496B" w:rsidP="0007496B">
      <w:pPr>
        <w:pStyle w:val="ListParagraph"/>
        <w:widowControl w:val="0"/>
        <w:numPr>
          <w:ilvl w:val="0"/>
          <w:numId w:val="6"/>
        </w:numPr>
        <w:shd w:val="clear" w:color="auto" w:fill="E7E6E6" w:themeFill="background2"/>
        <w:tabs>
          <w:tab w:val="left" w:pos="464"/>
          <w:tab w:val="left" w:pos="465"/>
        </w:tabs>
        <w:autoSpaceDE w:val="0"/>
        <w:autoSpaceDN w:val="0"/>
        <w:spacing w:before="77" w:after="0" w:line="240" w:lineRule="auto"/>
        <w:ind w:hanging="349"/>
        <w:contextualSpacing w:val="0"/>
        <w:rPr>
          <w:b/>
        </w:rPr>
      </w:pPr>
      <w:bookmarkStart w:id="0" w:name="I._Justice_System"/>
      <w:bookmarkEnd w:id="0"/>
      <w:r>
        <w:rPr>
          <w:b/>
        </w:rPr>
        <w:t>Justice</w:t>
      </w:r>
      <w:r>
        <w:rPr>
          <w:b/>
          <w:spacing w:val="-2"/>
        </w:rPr>
        <w:t xml:space="preserve"> </w:t>
      </w:r>
      <w:r>
        <w:rPr>
          <w:b/>
        </w:rPr>
        <w:t>System</w:t>
      </w:r>
    </w:p>
    <w:p w14:paraId="0B336014" w14:textId="77777777" w:rsidR="0007496B" w:rsidRDefault="0007496B" w:rsidP="0007496B">
      <w:pPr>
        <w:pStyle w:val="Heading2"/>
        <w:numPr>
          <w:ilvl w:val="0"/>
          <w:numId w:val="5"/>
        </w:numPr>
        <w:tabs>
          <w:tab w:val="left" w:pos="543"/>
          <w:tab w:val="left" w:pos="544"/>
        </w:tabs>
        <w:spacing w:before="113"/>
      </w:pPr>
      <w:bookmarkStart w:id="1" w:name="A._Independence"/>
      <w:bookmarkEnd w:id="1"/>
      <w:r>
        <w:t>Independence</w:t>
      </w:r>
    </w:p>
    <w:p w14:paraId="4CF9893A" w14:textId="77777777" w:rsidR="0007496B" w:rsidRDefault="0007496B" w:rsidP="0007496B">
      <w:pPr>
        <w:pStyle w:val="ListParagraph"/>
        <w:widowControl w:val="0"/>
        <w:numPr>
          <w:ilvl w:val="1"/>
          <w:numId w:val="5"/>
        </w:numPr>
        <w:tabs>
          <w:tab w:val="left" w:pos="1217"/>
        </w:tabs>
        <w:autoSpaceDE w:val="0"/>
        <w:autoSpaceDN w:val="0"/>
        <w:spacing w:before="120" w:after="0" w:line="240" w:lineRule="auto"/>
        <w:ind w:hanging="362"/>
        <w:contextualSpacing w:val="0"/>
        <w:rPr>
          <w:i/>
        </w:rPr>
      </w:pPr>
      <w:r>
        <w:rPr>
          <w:i/>
        </w:rPr>
        <w:t>Appointment and selection of judges</w:t>
      </w:r>
      <w:r>
        <w:rPr>
          <w:rStyle w:val="FootnoteReference"/>
          <w:i/>
        </w:rPr>
        <w:footnoteReference w:id="1"/>
      </w:r>
      <w:r>
        <w:rPr>
          <w:i/>
        </w:rPr>
        <w:t>, prosecutors and court</w:t>
      </w:r>
      <w:r>
        <w:rPr>
          <w:i/>
          <w:spacing w:val="-9"/>
        </w:rPr>
        <w:t xml:space="preserve"> </w:t>
      </w:r>
      <w:r>
        <w:rPr>
          <w:i/>
        </w:rPr>
        <w:t>presidents</w:t>
      </w:r>
    </w:p>
    <w:p w14:paraId="1C12451F" w14:textId="77777777" w:rsidR="0007496B" w:rsidRDefault="0007496B" w:rsidP="0007496B">
      <w:pPr>
        <w:pStyle w:val="ListParagraph"/>
        <w:widowControl w:val="0"/>
        <w:numPr>
          <w:ilvl w:val="1"/>
          <w:numId w:val="5"/>
        </w:numPr>
        <w:tabs>
          <w:tab w:val="left" w:pos="1216"/>
        </w:tabs>
        <w:autoSpaceDE w:val="0"/>
        <w:autoSpaceDN w:val="0"/>
        <w:spacing w:before="121" w:after="0" w:line="240" w:lineRule="auto"/>
        <w:ind w:left="1215" w:right="357" w:hanging="360"/>
        <w:contextualSpacing w:val="0"/>
        <w:rPr>
          <w:i/>
        </w:rPr>
      </w:pPr>
      <w:proofErr w:type="spellStart"/>
      <w:r>
        <w:rPr>
          <w:i/>
        </w:rPr>
        <w:t>Irremovability</w:t>
      </w:r>
      <w:proofErr w:type="spellEnd"/>
      <w:r>
        <w:rPr>
          <w:i/>
        </w:rPr>
        <w:t xml:space="preserve"> of judges; including transfers, dismissal and retirement regime of judges, court presidents and</w:t>
      </w:r>
      <w:r>
        <w:rPr>
          <w:i/>
          <w:spacing w:val="-3"/>
        </w:rPr>
        <w:t xml:space="preserve"> </w:t>
      </w:r>
      <w:r>
        <w:rPr>
          <w:i/>
        </w:rPr>
        <w:t>prosecutors</w:t>
      </w:r>
    </w:p>
    <w:p w14:paraId="03F281F1" w14:textId="77777777" w:rsidR="0007496B" w:rsidRDefault="0007496B" w:rsidP="0007496B">
      <w:pPr>
        <w:pStyle w:val="ListParagraph"/>
        <w:widowControl w:val="0"/>
        <w:numPr>
          <w:ilvl w:val="1"/>
          <w:numId w:val="5"/>
        </w:numPr>
        <w:tabs>
          <w:tab w:val="left" w:pos="1216"/>
        </w:tabs>
        <w:autoSpaceDE w:val="0"/>
        <w:autoSpaceDN w:val="0"/>
        <w:spacing w:before="120" w:after="0" w:line="240" w:lineRule="auto"/>
        <w:ind w:left="1215"/>
        <w:contextualSpacing w:val="0"/>
        <w:rPr>
          <w:i/>
        </w:rPr>
      </w:pPr>
      <w:r>
        <w:rPr>
          <w:i/>
        </w:rPr>
        <w:t>Promotion of judges and</w:t>
      </w:r>
      <w:r>
        <w:rPr>
          <w:i/>
          <w:spacing w:val="-10"/>
        </w:rPr>
        <w:t xml:space="preserve"> </w:t>
      </w:r>
      <w:r>
        <w:rPr>
          <w:i/>
        </w:rPr>
        <w:t>prosecutors</w:t>
      </w:r>
    </w:p>
    <w:p w14:paraId="096FBF90" w14:textId="77777777" w:rsidR="0007496B" w:rsidRDefault="0007496B" w:rsidP="0007496B">
      <w:pPr>
        <w:pStyle w:val="ListParagraph"/>
        <w:widowControl w:val="0"/>
        <w:numPr>
          <w:ilvl w:val="1"/>
          <w:numId w:val="5"/>
        </w:numPr>
        <w:tabs>
          <w:tab w:val="left" w:pos="1216"/>
        </w:tabs>
        <w:autoSpaceDE w:val="0"/>
        <w:autoSpaceDN w:val="0"/>
        <w:spacing w:before="120" w:after="0" w:line="240" w:lineRule="auto"/>
        <w:ind w:left="1215"/>
        <w:contextualSpacing w:val="0"/>
        <w:rPr>
          <w:i/>
        </w:rPr>
      </w:pPr>
      <w:r>
        <w:rPr>
          <w:i/>
        </w:rPr>
        <w:t>Allocation of cases in</w:t>
      </w:r>
      <w:r>
        <w:rPr>
          <w:i/>
          <w:spacing w:val="-2"/>
        </w:rPr>
        <w:t xml:space="preserve"> </w:t>
      </w:r>
      <w:r>
        <w:rPr>
          <w:i/>
        </w:rPr>
        <w:t>courts</w:t>
      </w:r>
    </w:p>
    <w:p w14:paraId="1F14B5F4" w14:textId="77777777" w:rsidR="0007496B" w:rsidRDefault="0007496B" w:rsidP="0007496B">
      <w:pPr>
        <w:pStyle w:val="ListParagraph"/>
        <w:widowControl w:val="0"/>
        <w:numPr>
          <w:ilvl w:val="1"/>
          <w:numId w:val="5"/>
        </w:numPr>
        <w:tabs>
          <w:tab w:val="left" w:pos="1216"/>
        </w:tabs>
        <w:autoSpaceDE w:val="0"/>
        <w:autoSpaceDN w:val="0"/>
        <w:spacing w:before="121" w:after="0" w:line="240" w:lineRule="auto"/>
        <w:ind w:left="1215" w:right="187" w:hanging="360"/>
        <w:contextualSpacing w:val="0"/>
        <w:rPr>
          <w:i/>
        </w:rPr>
      </w:pPr>
      <w:r>
        <w:rPr>
          <w:i/>
        </w:rPr>
        <w:t>Independence (including composition and nomination of its members), and powers of the body tasked with safeguarding the independence of the judiciary (e.g. Council for the Judiciary)</w:t>
      </w:r>
    </w:p>
    <w:p w14:paraId="789525C8" w14:textId="77777777" w:rsidR="0007496B" w:rsidRDefault="0007496B" w:rsidP="0007496B">
      <w:pPr>
        <w:pStyle w:val="ListParagraph"/>
        <w:widowControl w:val="0"/>
        <w:numPr>
          <w:ilvl w:val="1"/>
          <w:numId w:val="5"/>
        </w:numPr>
        <w:tabs>
          <w:tab w:val="left" w:pos="1216"/>
        </w:tabs>
        <w:autoSpaceDE w:val="0"/>
        <w:autoSpaceDN w:val="0"/>
        <w:spacing w:before="118" w:after="0" w:line="240" w:lineRule="auto"/>
        <w:ind w:left="1215" w:right="453"/>
        <w:contextualSpacing w:val="0"/>
        <w:rPr>
          <w:i/>
        </w:rPr>
      </w:pPr>
      <w:r>
        <w:rPr>
          <w:i/>
        </w:rPr>
        <w:t>Accountability of judges and prosecutors, including disciplinary regime and bodies and ethical rules, judicial immunity and criminal liability of</w:t>
      </w:r>
      <w:r>
        <w:rPr>
          <w:i/>
          <w:spacing w:val="-9"/>
        </w:rPr>
        <w:t xml:space="preserve"> </w:t>
      </w:r>
      <w:r>
        <w:rPr>
          <w:i/>
        </w:rPr>
        <w:t>judges.</w:t>
      </w:r>
    </w:p>
    <w:p w14:paraId="0CD76930" w14:textId="77777777" w:rsidR="0007496B" w:rsidRDefault="0007496B" w:rsidP="0007496B">
      <w:pPr>
        <w:pStyle w:val="ListParagraph"/>
        <w:widowControl w:val="0"/>
        <w:numPr>
          <w:ilvl w:val="1"/>
          <w:numId w:val="5"/>
        </w:numPr>
        <w:tabs>
          <w:tab w:val="left" w:pos="1216"/>
        </w:tabs>
        <w:autoSpaceDE w:val="0"/>
        <w:autoSpaceDN w:val="0"/>
        <w:spacing w:before="120" w:after="0" w:line="240" w:lineRule="auto"/>
        <w:ind w:left="1215"/>
        <w:contextualSpacing w:val="0"/>
        <w:rPr>
          <w:i/>
        </w:rPr>
      </w:pPr>
      <w:r>
        <w:rPr>
          <w:i/>
        </w:rPr>
        <w:t>Remuneration/bonuses for judges and</w:t>
      </w:r>
      <w:r>
        <w:rPr>
          <w:i/>
          <w:spacing w:val="-4"/>
        </w:rPr>
        <w:t xml:space="preserve"> </w:t>
      </w:r>
      <w:r>
        <w:rPr>
          <w:i/>
        </w:rPr>
        <w:t>prosecutors</w:t>
      </w:r>
    </w:p>
    <w:p w14:paraId="3EEB0FE8" w14:textId="77777777" w:rsidR="0007496B" w:rsidRDefault="0007496B" w:rsidP="0007496B">
      <w:pPr>
        <w:pStyle w:val="ListParagraph"/>
        <w:widowControl w:val="0"/>
        <w:numPr>
          <w:ilvl w:val="1"/>
          <w:numId w:val="5"/>
        </w:numPr>
        <w:tabs>
          <w:tab w:val="left" w:pos="1216"/>
        </w:tabs>
        <w:autoSpaceDE w:val="0"/>
        <w:autoSpaceDN w:val="0"/>
        <w:spacing w:before="121" w:after="0" w:line="240" w:lineRule="auto"/>
        <w:ind w:left="1215"/>
        <w:contextualSpacing w:val="0"/>
        <w:rPr>
          <w:i/>
        </w:rPr>
      </w:pPr>
      <w:r>
        <w:rPr>
          <w:i/>
        </w:rPr>
        <w:t>Independence/autonomy of the prosecution</w:t>
      </w:r>
      <w:r>
        <w:rPr>
          <w:i/>
          <w:spacing w:val="-2"/>
        </w:rPr>
        <w:t xml:space="preserve"> </w:t>
      </w:r>
      <w:r>
        <w:rPr>
          <w:i/>
        </w:rPr>
        <w:t>service</w:t>
      </w:r>
    </w:p>
    <w:p w14:paraId="5ACE1D55" w14:textId="77777777" w:rsidR="0007496B" w:rsidRDefault="0007496B" w:rsidP="0007496B">
      <w:pPr>
        <w:pStyle w:val="ListParagraph"/>
        <w:widowControl w:val="0"/>
        <w:numPr>
          <w:ilvl w:val="1"/>
          <w:numId w:val="5"/>
        </w:numPr>
        <w:tabs>
          <w:tab w:val="left" w:pos="1216"/>
        </w:tabs>
        <w:autoSpaceDE w:val="0"/>
        <w:autoSpaceDN w:val="0"/>
        <w:spacing w:before="120" w:after="0" w:line="240" w:lineRule="auto"/>
        <w:ind w:left="1215"/>
        <w:contextualSpacing w:val="0"/>
        <w:rPr>
          <w:i/>
        </w:rPr>
      </w:pPr>
      <w:r>
        <w:rPr>
          <w:i/>
        </w:rPr>
        <w:t>Independence of the Bar (chamber/association of lawyers) and of</w:t>
      </w:r>
      <w:r>
        <w:rPr>
          <w:i/>
          <w:spacing w:val="-7"/>
        </w:rPr>
        <w:t xml:space="preserve"> </w:t>
      </w:r>
      <w:r>
        <w:rPr>
          <w:i/>
        </w:rPr>
        <w:t>lawyers</w:t>
      </w:r>
    </w:p>
    <w:p w14:paraId="30482EDB" w14:textId="6D0786A0" w:rsidR="0007496B" w:rsidRDefault="0007496B" w:rsidP="0007496B">
      <w:pPr>
        <w:pStyle w:val="ListParagraph"/>
        <w:widowControl w:val="0"/>
        <w:numPr>
          <w:ilvl w:val="1"/>
          <w:numId w:val="5"/>
        </w:numPr>
        <w:tabs>
          <w:tab w:val="left" w:pos="1216"/>
        </w:tabs>
        <w:autoSpaceDE w:val="0"/>
        <w:autoSpaceDN w:val="0"/>
        <w:spacing w:before="120" w:after="0" w:line="240" w:lineRule="auto"/>
        <w:ind w:left="1215" w:right="287"/>
        <w:contextualSpacing w:val="0"/>
        <w:rPr>
          <w:i/>
        </w:rPr>
      </w:pPr>
      <w:r>
        <w:rPr>
          <w:i/>
        </w:rPr>
        <w:t>Significant developments capable of affecting the perception that the general public has of the independence of the</w:t>
      </w:r>
      <w:r>
        <w:rPr>
          <w:i/>
          <w:spacing w:val="-5"/>
        </w:rPr>
        <w:t xml:space="preserve"> </w:t>
      </w:r>
      <w:r>
        <w:rPr>
          <w:i/>
        </w:rPr>
        <w:t>judiciary</w:t>
      </w:r>
    </w:p>
    <w:p w14:paraId="7779A3AD" w14:textId="0AE4A466" w:rsidR="000F1D02" w:rsidRDefault="000F1D02" w:rsidP="000F1D02">
      <w:pPr>
        <w:widowControl w:val="0"/>
        <w:tabs>
          <w:tab w:val="left" w:pos="1216"/>
        </w:tabs>
        <w:autoSpaceDE w:val="0"/>
        <w:autoSpaceDN w:val="0"/>
        <w:spacing w:before="120" w:after="0"/>
        <w:ind w:right="287"/>
        <w:jc w:val="both"/>
      </w:pPr>
      <w:r>
        <w:t xml:space="preserve">In 2019, the </w:t>
      </w:r>
      <w:r w:rsidRPr="000F1D02">
        <w:t xml:space="preserve">UN High Commissioner for Human Rights </w:t>
      </w:r>
      <w:r>
        <w:t xml:space="preserve">welcomed </w:t>
      </w:r>
      <w:r w:rsidRPr="000F1D02">
        <w:t>a landmark decision by the Supreme Court of the Netherlands which requires to take more ambitious climate action in order to protect human rights from the adverse effects of climate chan</w:t>
      </w:r>
      <w:r>
        <w:t xml:space="preserve">ge. She noted </w:t>
      </w:r>
      <w:r w:rsidRPr="000F1D02">
        <w:t>the Court's acceptance that human rights obligations are central to the response t</w:t>
      </w:r>
      <w:r>
        <w:t xml:space="preserve">o the climate change, available at </w:t>
      </w:r>
      <w:hyperlink r:id="rId7" w:history="1">
        <w:r w:rsidRPr="007F5D1C">
          <w:rPr>
            <w:rStyle w:val="Hyperlink"/>
            <w:bCs/>
          </w:rPr>
          <w:t>https://www.ohchr.org/EN/NewsEvents/Pages/DisplayNews.aspx?NewsID=25450</w:t>
        </w:r>
      </w:hyperlink>
      <w:r w:rsidRPr="007F5D1C">
        <w:t xml:space="preserve">. </w:t>
      </w:r>
    </w:p>
    <w:p w14:paraId="77BEE47C" w14:textId="77777777" w:rsidR="00B93596" w:rsidRPr="000F1D02" w:rsidRDefault="00B93596" w:rsidP="000F1D02">
      <w:pPr>
        <w:widowControl w:val="0"/>
        <w:tabs>
          <w:tab w:val="left" w:pos="1216"/>
        </w:tabs>
        <w:autoSpaceDE w:val="0"/>
        <w:autoSpaceDN w:val="0"/>
        <w:spacing w:before="120" w:after="0"/>
        <w:ind w:right="287"/>
        <w:jc w:val="both"/>
        <w:rPr>
          <w:b/>
          <w:bCs/>
        </w:rPr>
      </w:pPr>
    </w:p>
    <w:p w14:paraId="6386F6F4" w14:textId="41049704" w:rsidR="007F5D1C" w:rsidRDefault="000F1D02" w:rsidP="007F5D1C">
      <w:pPr>
        <w:widowControl w:val="0"/>
        <w:tabs>
          <w:tab w:val="left" w:pos="1216"/>
        </w:tabs>
        <w:autoSpaceDE w:val="0"/>
        <w:autoSpaceDN w:val="0"/>
        <w:spacing w:after="0" w:line="240" w:lineRule="auto"/>
        <w:ind w:right="288"/>
        <w:jc w:val="both"/>
      </w:pPr>
      <w:r>
        <w:t>In 2020, t</w:t>
      </w:r>
      <w:r w:rsidRPr="000F1D02">
        <w:t>he UN Special Rapporteur on extreme poverty and human rights</w:t>
      </w:r>
      <w:r>
        <w:t xml:space="preserve"> welcomed </w:t>
      </w:r>
      <w:r w:rsidRPr="000F1D02">
        <w:t xml:space="preserve">a landmark ruling by the District Court of </w:t>
      </w:r>
      <w:proofErr w:type="gramStart"/>
      <w:r w:rsidRPr="000F1D02">
        <w:t>th</w:t>
      </w:r>
      <w:r w:rsidR="007F5D1C">
        <w:t>e Hague</w:t>
      </w:r>
      <w:proofErr w:type="gramEnd"/>
      <w:r w:rsidR="007F5D1C">
        <w:t xml:space="preserve"> in the Netherlands</w:t>
      </w:r>
      <w:r w:rsidRPr="000F1D02">
        <w:t>. The court ordered the immediate halt to a digital benefit fraud detection tool targeted at poor neighborhoods in the Netherlands because it violated human rights norms.</w:t>
      </w:r>
      <w:r w:rsidR="00E877E0">
        <w:t xml:space="preserve"> The Special Rapporteur </w:t>
      </w:r>
      <w:r w:rsidR="00B93596">
        <w:t>stated that t</w:t>
      </w:r>
      <w:r w:rsidRPr="000F1D02">
        <w:t>his is a clear victory for all those who are justifiably concerned about the serious threats digital welfare systems pose for human rights</w:t>
      </w:r>
      <w:r w:rsidR="007F5D1C">
        <w:t xml:space="preserve">. He noted that this </w:t>
      </w:r>
      <w:r w:rsidRPr="000F1D02">
        <w:t>decision sets a strong legal preced</w:t>
      </w:r>
      <w:r w:rsidR="007F5D1C">
        <w:t>e</w:t>
      </w:r>
      <w:r w:rsidR="00B93596">
        <w:t>nt for other courts to follow because</w:t>
      </w:r>
      <w:r w:rsidR="007F5D1C">
        <w:t xml:space="preserve"> for </w:t>
      </w:r>
      <w:r w:rsidRPr="000F1D02">
        <w:t>the first times a court anywhere has stopped the use of digital technologies and abundant digital information by welfare authorities on huma</w:t>
      </w:r>
      <w:r w:rsidR="007F5D1C">
        <w:t>n rights grounds, available at</w:t>
      </w:r>
    </w:p>
    <w:p w14:paraId="17DEB0AB" w14:textId="28FE7355" w:rsidR="000F1D02" w:rsidRPr="000F1D02" w:rsidRDefault="009D2228" w:rsidP="007F5D1C">
      <w:pPr>
        <w:widowControl w:val="0"/>
        <w:tabs>
          <w:tab w:val="left" w:pos="1216"/>
        </w:tabs>
        <w:autoSpaceDE w:val="0"/>
        <w:autoSpaceDN w:val="0"/>
        <w:spacing w:after="0" w:line="240" w:lineRule="auto"/>
        <w:ind w:right="288"/>
        <w:jc w:val="both"/>
      </w:pPr>
      <w:hyperlink r:id="rId8" w:history="1">
        <w:r w:rsidR="007F5D1C" w:rsidRPr="007F5D1C">
          <w:rPr>
            <w:rStyle w:val="Hyperlink"/>
          </w:rPr>
          <w:t>https://www.ohchr.org/EN/NewsEvents/Pages/DisplayNews.aspx?NewsID=25522</w:t>
        </w:r>
      </w:hyperlink>
    </w:p>
    <w:p w14:paraId="54C49BBD" w14:textId="03B76072" w:rsidR="000F1D02" w:rsidRPr="000F1D02" w:rsidRDefault="000F1D02" w:rsidP="000F1D02">
      <w:pPr>
        <w:widowControl w:val="0"/>
        <w:tabs>
          <w:tab w:val="left" w:pos="1216"/>
        </w:tabs>
        <w:autoSpaceDE w:val="0"/>
        <w:autoSpaceDN w:val="0"/>
        <w:spacing w:before="120" w:after="0" w:line="240" w:lineRule="auto"/>
        <w:ind w:right="287"/>
        <w:jc w:val="both"/>
      </w:pPr>
    </w:p>
    <w:p w14:paraId="5C3A4D64" w14:textId="77777777" w:rsidR="0007496B" w:rsidRDefault="0007496B" w:rsidP="0007496B">
      <w:pPr>
        <w:pStyle w:val="Heading2"/>
        <w:numPr>
          <w:ilvl w:val="0"/>
          <w:numId w:val="5"/>
        </w:numPr>
        <w:tabs>
          <w:tab w:val="left" w:pos="543"/>
          <w:tab w:val="left" w:pos="544"/>
        </w:tabs>
        <w:spacing w:before="121"/>
        <w:ind w:left="543"/>
      </w:pPr>
      <w:bookmarkStart w:id="2" w:name="B._Quality_of_justice1F"/>
      <w:bookmarkEnd w:id="2"/>
      <w:r>
        <w:t>Quality of</w:t>
      </w:r>
      <w:r>
        <w:rPr>
          <w:spacing w:val="-6"/>
        </w:rPr>
        <w:t xml:space="preserve"> </w:t>
      </w:r>
      <w:r>
        <w:t>justice</w:t>
      </w:r>
      <w:r>
        <w:rPr>
          <w:rStyle w:val="FootnoteReference"/>
        </w:rPr>
        <w:footnoteReference w:id="2"/>
      </w:r>
    </w:p>
    <w:p w14:paraId="43B7DA42" w14:textId="70353161" w:rsidR="0007496B" w:rsidRDefault="0007496B" w:rsidP="0007496B">
      <w:pPr>
        <w:pStyle w:val="ListParagraph"/>
        <w:widowControl w:val="0"/>
        <w:numPr>
          <w:ilvl w:val="0"/>
          <w:numId w:val="4"/>
        </w:numPr>
        <w:tabs>
          <w:tab w:val="left" w:pos="1217"/>
        </w:tabs>
        <w:autoSpaceDE w:val="0"/>
        <w:autoSpaceDN w:val="0"/>
        <w:spacing w:before="120" w:after="0" w:line="240" w:lineRule="auto"/>
        <w:ind w:hanging="362"/>
        <w:contextualSpacing w:val="0"/>
        <w:rPr>
          <w:i/>
        </w:rPr>
      </w:pPr>
      <w:r>
        <w:rPr>
          <w:i/>
        </w:rPr>
        <w:lastRenderedPageBreak/>
        <w:t>Accessibility of courts (e.g. court fees, legal aid,</w:t>
      </w:r>
      <w:r>
        <w:rPr>
          <w:i/>
          <w:spacing w:val="-4"/>
        </w:rPr>
        <w:t xml:space="preserve"> </w:t>
      </w:r>
      <w:r>
        <w:rPr>
          <w:i/>
        </w:rPr>
        <w:t>language)</w:t>
      </w:r>
    </w:p>
    <w:p w14:paraId="1BCD45BE" w14:textId="2CF94033" w:rsidR="00FF20B3" w:rsidRDefault="00FF20B3" w:rsidP="00654A78">
      <w:pPr>
        <w:pStyle w:val="Heading2"/>
        <w:spacing w:before="33"/>
        <w:ind w:left="116" w:firstLine="0"/>
        <w:rPr>
          <w:b w:val="0"/>
          <w:bCs w:val="0"/>
          <w:i w:val="0"/>
          <w:iCs/>
        </w:rPr>
      </w:pPr>
    </w:p>
    <w:p w14:paraId="27B3CD05" w14:textId="0F752E4E" w:rsidR="007F47A1" w:rsidRDefault="002C69E1" w:rsidP="00383D96">
      <w:pPr>
        <w:pStyle w:val="Heading2"/>
        <w:spacing w:before="33"/>
        <w:ind w:left="116" w:firstLine="0"/>
        <w:jc w:val="both"/>
        <w:rPr>
          <w:b w:val="0"/>
          <w:bCs w:val="0"/>
          <w:i w:val="0"/>
          <w:iCs/>
        </w:rPr>
      </w:pPr>
      <w:r>
        <w:rPr>
          <w:b w:val="0"/>
          <w:bCs w:val="0"/>
          <w:i w:val="0"/>
          <w:iCs/>
        </w:rPr>
        <w:t xml:space="preserve">In its 2018 concluding observations, </w:t>
      </w:r>
      <w:r w:rsidR="00FF20B3" w:rsidRPr="008169D1">
        <w:rPr>
          <w:b w:val="0"/>
          <w:bCs w:val="0"/>
          <w:i w:val="0"/>
          <w:iCs/>
        </w:rPr>
        <w:t xml:space="preserve">the UN Committee against Torture </w:t>
      </w:r>
      <w:r w:rsidR="00FF20B3">
        <w:rPr>
          <w:b w:val="0"/>
          <w:bCs w:val="0"/>
          <w:i w:val="0"/>
          <w:iCs/>
        </w:rPr>
        <w:t>took note of</w:t>
      </w:r>
      <w:r w:rsidR="00FF20B3" w:rsidRPr="008169D1">
        <w:rPr>
          <w:b w:val="0"/>
          <w:bCs w:val="0"/>
          <w:i w:val="0"/>
          <w:iCs/>
        </w:rPr>
        <w:t xml:space="preserve"> efforts made by the </w:t>
      </w:r>
      <w:r>
        <w:rPr>
          <w:b w:val="0"/>
          <w:bCs w:val="0"/>
          <w:i w:val="0"/>
          <w:iCs/>
        </w:rPr>
        <w:t>Netherlands</w:t>
      </w:r>
      <w:r w:rsidRPr="008169D1">
        <w:rPr>
          <w:b w:val="0"/>
          <w:bCs w:val="0"/>
          <w:i w:val="0"/>
          <w:iCs/>
        </w:rPr>
        <w:t xml:space="preserve"> </w:t>
      </w:r>
      <w:r w:rsidR="00FF20B3" w:rsidRPr="008169D1">
        <w:rPr>
          <w:b w:val="0"/>
          <w:bCs w:val="0"/>
          <w:i w:val="0"/>
          <w:iCs/>
        </w:rPr>
        <w:t>to strengthen the right to legal counsel, including by adopting legislative measures to implement the European directive on the right of access to a lawyer (directive 2013/48/EU) and amending the Code of Criminal Procedure to provide legal aid to persons suspected of category C (minor) offences</w:t>
      </w:r>
      <w:r w:rsidR="00FF20B3">
        <w:rPr>
          <w:b w:val="0"/>
          <w:bCs w:val="0"/>
          <w:i w:val="0"/>
          <w:iCs/>
        </w:rPr>
        <w:t>.</w:t>
      </w:r>
      <w:r w:rsidR="00FF20B3" w:rsidRPr="008169D1">
        <w:rPr>
          <w:b w:val="0"/>
          <w:bCs w:val="0"/>
          <w:i w:val="0"/>
          <w:iCs/>
        </w:rPr>
        <w:t xml:space="preserve"> In addition, while noting the procedural safeguards in domestic legislation, the Committee </w:t>
      </w:r>
      <w:r w:rsidR="00FF20B3">
        <w:rPr>
          <w:b w:val="0"/>
          <w:bCs w:val="0"/>
          <w:i w:val="0"/>
          <w:iCs/>
        </w:rPr>
        <w:t>raised</w:t>
      </w:r>
      <w:r w:rsidR="00FF20B3" w:rsidRPr="008169D1">
        <w:rPr>
          <w:b w:val="0"/>
          <w:bCs w:val="0"/>
          <w:i w:val="0"/>
          <w:iCs/>
        </w:rPr>
        <w:t xml:space="preserve"> concern</w:t>
      </w:r>
      <w:r w:rsidR="00FF20B3">
        <w:rPr>
          <w:b w:val="0"/>
          <w:bCs w:val="0"/>
          <w:i w:val="0"/>
          <w:iCs/>
        </w:rPr>
        <w:t xml:space="preserve"> about</w:t>
      </w:r>
      <w:r w:rsidR="00FF20B3" w:rsidRPr="008169D1">
        <w:rPr>
          <w:b w:val="0"/>
          <w:bCs w:val="0"/>
          <w:i w:val="0"/>
          <w:iCs/>
        </w:rPr>
        <w:t xml:space="preserve"> the information that in practice, persons under police custody are often denied the right to notify a person of their own choosing about their detention</w:t>
      </w:r>
      <w:r w:rsidR="00FF20B3">
        <w:rPr>
          <w:b w:val="0"/>
          <w:bCs w:val="0"/>
          <w:i w:val="0"/>
          <w:iCs/>
        </w:rPr>
        <w:t xml:space="preserve">. </w:t>
      </w:r>
      <w:r w:rsidR="001E3EB1">
        <w:rPr>
          <w:b w:val="0"/>
          <w:bCs w:val="0"/>
          <w:i w:val="0"/>
          <w:iCs/>
        </w:rPr>
        <w:t xml:space="preserve">The Committee </w:t>
      </w:r>
      <w:r w:rsidR="001E3EB1" w:rsidRPr="001E3EB1">
        <w:rPr>
          <w:b w:val="0"/>
          <w:i w:val="0"/>
        </w:rPr>
        <w:t>also regretted the reservation made by the Netherlands concerning article 40 of the Convention on the Rights of the Child, thereby allowing children to be interviewed or interrogated in the absence of a lawyer or their parents, in cases involving minor offences</w:t>
      </w:r>
      <w:r w:rsidR="001E3EB1">
        <w:rPr>
          <w:b w:val="0"/>
          <w:i w:val="0"/>
        </w:rPr>
        <w:t xml:space="preserve">. </w:t>
      </w:r>
      <w:r w:rsidR="007F47A1">
        <w:rPr>
          <w:b w:val="0"/>
          <w:bCs w:val="0"/>
          <w:i w:val="0"/>
          <w:iCs/>
        </w:rPr>
        <w:t xml:space="preserve">Concerns were also expressed that </w:t>
      </w:r>
      <w:r w:rsidR="007F47A1" w:rsidRPr="00E013A7">
        <w:rPr>
          <w:b w:val="0"/>
          <w:bCs w:val="0"/>
          <w:i w:val="0"/>
          <w:iCs/>
        </w:rPr>
        <w:t xml:space="preserve">unaccompanied children asylum seekers do not receive sufficient assistance, including legal aid, </w:t>
      </w:r>
      <w:r w:rsidR="007F5D1C">
        <w:rPr>
          <w:b w:val="0"/>
          <w:bCs w:val="0"/>
          <w:i w:val="0"/>
          <w:iCs/>
        </w:rPr>
        <w:t>throughout the asylum procedure (</w:t>
      </w:r>
      <w:hyperlink r:id="rId9" w:history="1">
        <w:r w:rsidR="007F47A1" w:rsidRPr="00E013A7">
          <w:rPr>
            <w:rStyle w:val="Hyperlink"/>
            <w:b w:val="0"/>
            <w:bCs w:val="0"/>
            <w:i w:val="0"/>
            <w:iCs/>
          </w:rPr>
          <w:t>CAT/C/NLD/CO/7</w:t>
        </w:r>
      </w:hyperlink>
      <w:r w:rsidR="007F47A1">
        <w:rPr>
          <w:b w:val="0"/>
          <w:bCs w:val="0"/>
          <w:i w:val="0"/>
          <w:iCs/>
        </w:rPr>
        <w:t xml:space="preserve">, para </w:t>
      </w:r>
      <w:r>
        <w:rPr>
          <w:b w:val="0"/>
          <w:bCs w:val="0"/>
          <w:i w:val="0"/>
          <w:iCs/>
        </w:rPr>
        <w:t xml:space="preserve">9, </w:t>
      </w:r>
      <w:r w:rsidR="007F47A1">
        <w:rPr>
          <w:b w:val="0"/>
          <w:bCs w:val="0"/>
          <w:i w:val="0"/>
          <w:iCs/>
        </w:rPr>
        <w:t>18</w:t>
      </w:r>
      <w:r w:rsidR="001E3EB1">
        <w:rPr>
          <w:b w:val="0"/>
          <w:bCs w:val="0"/>
          <w:i w:val="0"/>
          <w:iCs/>
        </w:rPr>
        <w:t>, 36</w:t>
      </w:r>
      <w:r w:rsidR="007F47A1">
        <w:rPr>
          <w:b w:val="0"/>
          <w:bCs w:val="0"/>
          <w:i w:val="0"/>
          <w:iCs/>
        </w:rPr>
        <w:t>)</w:t>
      </w:r>
      <w:r w:rsidR="00561516">
        <w:rPr>
          <w:b w:val="0"/>
          <w:bCs w:val="0"/>
          <w:i w:val="0"/>
          <w:iCs/>
        </w:rPr>
        <w:t>.</w:t>
      </w:r>
    </w:p>
    <w:p w14:paraId="524DFD71" w14:textId="77777777" w:rsidR="00B93596" w:rsidRPr="00B93596" w:rsidRDefault="00B93596" w:rsidP="00B93596">
      <w:pPr>
        <w:pStyle w:val="Heading2"/>
        <w:spacing w:before="33"/>
        <w:ind w:left="116"/>
        <w:jc w:val="both"/>
        <w:rPr>
          <w:b w:val="0"/>
          <w:i w:val="0"/>
          <w:iCs/>
        </w:rPr>
      </w:pPr>
    </w:p>
    <w:p w14:paraId="58E0108A" w14:textId="4414DC0A" w:rsidR="00B93596" w:rsidRPr="00B93596" w:rsidRDefault="00D30161" w:rsidP="00F77AB4">
      <w:pPr>
        <w:pStyle w:val="Heading2"/>
        <w:spacing w:before="33"/>
        <w:ind w:left="116" w:firstLine="0"/>
        <w:jc w:val="both"/>
        <w:rPr>
          <w:b w:val="0"/>
          <w:i w:val="0"/>
          <w:iCs/>
        </w:rPr>
      </w:pPr>
      <w:r w:rsidRPr="00D30161">
        <w:rPr>
          <w:b w:val="0"/>
          <w:i w:val="0"/>
          <w:iCs/>
        </w:rPr>
        <w:t>In its 2019 concluding observations</w:t>
      </w:r>
      <w:r w:rsidR="00F77AB4">
        <w:rPr>
          <w:b w:val="0"/>
          <w:i w:val="0"/>
          <w:iCs/>
        </w:rPr>
        <w:t>,</w:t>
      </w:r>
      <w:r w:rsidRPr="00D30161">
        <w:rPr>
          <w:b w:val="0"/>
          <w:i w:val="0"/>
          <w:iCs/>
        </w:rPr>
        <w:t xml:space="preserve"> the UN Human Rights Committee</w:t>
      </w:r>
      <w:r w:rsidRPr="00D30161">
        <w:rPr>
          <w:iCs/>
        </w:rPr>
        <w:t xml:space="preserve"> </w:t>
      </w:r>
      <w:r>
        <w:rPr>
          <w:b w:val="0"/>
          <w:i w:val="0"/>
          <w:iCs/>
        </w:rPr>
        <w:t>appreciated</w:t>
      </w:r>
      <w:r w:rsidR="00B93596" w:rsidRPr="00B93596">
        <w:rPr>
          <w:b w:val="0"/>
          <w:i w:val="0"/>
          <w:iCs/>
        </w:rPr>
        <w:t xml:space="preserve"> the continued efforts of the Netherlands to deal with asylum seekers, including a family reunification policy that allows family reunification for persons granted subsidiary protection and the provision of free legal aid to asylum seekers at all stages of the asylum procedure.</w:t>
      </w:r>
      <w:r w:rsidRPr="00D30161">
        <w:rPr>
          <w:b w:val="0"/>
          <w:i w:val="0"/>
          <w:iCs/>
        </w:rPr>
        <w:t xml:space="preserve"> </w:t>
      </w:r>
      <w:r w:rsidR="00E877E0">
        <w:rPr>
          <w:b w:val="0"/>
          <w:i w:val="0"/>
          <w:iCs/>
        </w:rPr>
        <w:t>However, t</w:t>
      </w:r>
      <w:r>
        <w:rPr>
          <w:b w:val="0"/>
          <w:i w:val="0"/>
          <w:iCs/>
        </w:rPr>
        <w:t>he UN Committee was</w:t>
      </w:r>
      <w:r w:rsidRPr="00B93596">
        <w:rPr>
          <w:b w:val="0"/>
          <w:i w:val="0"/>
          <w:iCs/>
        </w:rPr>
        <w:t xml:space="preserve"> concerned about the limited access of victims of domestic violence to free legal aid</w:t>
      </w:r>
      <w:r>
        <w:rPr>
          <w:b w:val="0"/>
          <w:i w:val="0"/>
          <w:iCs/>
        </w:rPr>
        <w:t>. The Committee recommended that the Netherlands e</w:t>
      </w:r>
      <w:r w:rsidRPr="00B93596">
        <w:rPr>
          <w:b w:val="0"/>
          <w:i w:val="0"/>
          <w:iCs/>
        </w:rPr>
        <w:t>nsure that free legal aid is provided to all victims of domestic violence</w:t>
      </w:r>
      <w:r>
        <w:rPr>
          <w:b w:val="0"/>
          <w:i w:val="0"/>
          <w:iCs/>
        </w:rPr>
        <w:t>. The Committee was also</w:t>
      </w:r>
      <w:r w:rsidRPr="00D30161">
        <w:rPr>
          <w:b w:val="0"/>
          <w:i w:val="0"/>
          <w:iCs/>
        </w:rPr>
        <w:t xml:space="preserve"> concerned that the interests of the investigation provided for in section 62 (2) of the Dutch Criminal Procedure Code concerning the right of notification of custody is unduly vague and that the exceptions and safeguards are not clearly specified</w:t>
      </w:r>
      <w:r w:rsidR="00E877E0">
        <w:rPr>
          <w:b w:val="0"/>
          <w:i w:val="0"/>
          <w:iCs/>
        </w:rPr>
        <w:t xml:space="preserve">. The Committee was </w:t>
      </w:r>
      <w:r w:rsidRPr="00D30161">
        <w:rPr>
          <w:b w:val="0"/>
          <w:i w:val="0"/>
          <w:iCs/>
        </w:rPr>
        <w:t>also concerned about reports that the right of notification of custody of persons deprived of liberty, who are not subject to the regime of section 62 (2), is not always respect</w:t>
      </w:r>
      <w:r>
        <w:rPr>
          <w:b w:val="0"/>
          <w:i w:val="0"/>
          <w:iCs/>
        </w:rPr>
        <w:t>e</w:t>
      </w:r>
      <w:r w:rsidR="00E877E0">
        <w:rPr>
          <w:b w:val="0"/>
          <w:i w:val="0"/>
          <w:iCs/>
        </w:rPr>
        <w:t xml:space="preserve">d in practice. The Committee remained </w:t>
      </w:r>
      <w:r w:rsidRPr="00D30161">
        <w:rPr>
          <w:b w:val="0"/>
          <w:i w:val="0"/>
          <w:iCs/>
        </w:rPr>
        <w:t>concerned about allegations of the lack of a clear rule on the role of lawyers during questioning, which may unduly hinder their assi</w:t>
      </w:r>
      <w:r>
        <w:rPr>
          <w:b w:val="0"/>
          <w:i w:val="0"/>
          <w:iCs/>
        </w:rPr>
        <w:t>stance to their clients</w:t>
      </w:r>
      <w:r w:rsidRPr="00D30161">
        <w:rPr>
          <w:b w:val="0"/>
          <w:i w:val="0"/>
          <w:iCs/>
        </w:rPr>
        <w:t>.</w:t>
      </w:r>
      <w:r>
        <w:rPr>
          <w:b w:val="0"/>
          <w:i w:val="0"/>
          <w:iCs/>
        </w:rPr>
        <w:t xml:space="preserve"> The Committee recommended to </w:t>
      </w:r>
      <w:r w:rsidRPr="00D30161">
        <w:rPr>
          <w:b w:val="0"/>
          <w:i w:val="0"/>
          <w:iCs/>
        </w:rPr>
        <w:t>review the Dutch Criminal Procedure Code with a view to ensuring that provisions on the right of persons deprived of liberty of notification of custody are clearly defined in line with the Covenant</w:t>
      </w:r>
      <w:r>
        <w:rPr>
          <w:b w:val="0"/>
          <w:i w:val="0"/>
          <w:iCs/>
        </w:rPr>
        <w:t xml:space="preserve"> on </w:t>
      </w:r>
      <w:r w:rsidRPr="00D30161">
        <w:rPr>
          <w:b w:val="0"/>
          <w:i w:val="0"/>
          <w:iCs/>
        </w:rPr>
        <w:t>Civil and Political Rights, and ensure that this right is respected in practice. It should also provide clear guidance on the role of lawyers during interrogation, in line with the Covenant</w:t>
      </w:r>
      <w:r>
        <w:rPr>
          <w:b w:val="0"/>
          <w:i w:val="0"/>
          <w:iCs/>
        </w:rPr>
        <w:t xml:space="preserve"> </w:t>
      </w:r>
      <w:r w:rsidRPr="00D30161">
        <w:rPr>
          <w:b w:val="0"/>
          <w:i w:val="0"/>
          <w:iCs/>
        </w:rPr>
        <w:t>(</w:t>
      </w:r>
      <w:hyperlink r:id="rId10" w:history="1">
        <w:r w:rsidRPr="00D30161">
          <w:rPr>
            <w:rStyle w:val="Hyperlink"/>
            <w:b w:val="0"/>
            <w:i w:val="0"/>
            <w:iCs/>
          </w:rPr>
          <w:t>CCPR/C/NLD/CO/5</w:t>
        </w:r>
      </w:hyperlink>
      <w:r>
        <w:rPr>
          <w:b w:val="0"/>
          <w:i w:val="0"/>
          <w:iCs/>
        </w:rPr>
        <w:t>, para 17, 32 c, 33a, 38, 39</w:t>
      </w:r>
      <w:r w:rsidRPr="00D30161">
        <w:rPr>
          <w:b w:val="0"/>
          <w:i w:val="0"/>
          <w:iCs/>
        </w:rPr>
        <w:t>).</w:t>
      </w:r>
    </w:p>
    <w:p w14:paraId="159F4C31" w14:textId="6F4A380F" w:rsidR="00B93596" w:rsidRPr="00B93596" w:rsidRDefault="00B93596" w:rsidP="00E877E0">
      <w:pPr>
        <w:pStyle w:val="Heading2"/>
        <w:spacing w:before="33"/>
        <w:ind w:left="0" w:firstLine="0"/>
        <w:jc w:val="both"/>
        <w:rPr>
          <w:b w:val="0"/>
          <w:i w:val="0"/>
          <w:iCs/>
        </w:rPr>
      </w:pPr>
    </w:p>
    <w:p w14:paraId="7F3CE326" w14:textId="50AC898B" w:rsidR="0007496B" w:rsidRDefault="0007496B" w:rsidP="0007496B">
      <w:pPr>
        <w:pStyle w:val="ListParagraph"/>
        <w:widowControl w:val="0"/>
        <w:numPr>
          <w:ilvl w:val="0"/>
          <w:numId w:val="4"/>
        </w:numPr>
        <w:tabs>
          <w:tab w:val="left" w:pos="1217"/>
        </w:tabs>
        <w:autoSpaceDE w:val="0"/>
        <w:autoSpaceDN w:val="0"/>
        <w:spacing w:before="118" w:after="0" w:line="240" w:lineRule="auto"/>
        <w:ind w:hanging="362"/>
        <w:contextualSpacing w:val="0"/>
        <w:rPr>
          <w:i/>
        </w:rPr>
      </w:pPr>
      <w:r>
        <w:rPr>
          <w:i/>
        </w:rPr>
        <w:t>Resources of the judiciary</w:t>
      </w:r>
      <w:r>
        <w:rPr>
          <w:i/>
          <w:spacing w:val="-2"/>
        </w:rPr>
        <w:t xml:space="preserve"> </w:t>
      </w:r>
      <w:r>
        <w:rPr>
          <w:i/>
        </w:rPr>
        <w:t>(human/financial/material</w:t>
      </w:r>
      <w:r>
        <w:rPr>
          <w:rStyle w:val="FootnoteReference"/>
          <w:i/>
        </w:rPr>
        <w:footnoteReference w:id="3"/>
      </w:r>
      <w:r>
        <w:rPr>
          <w:i/>
        </w:rPr>
        <w:t>)</w:t>
      </w:r>
    </w:p>
    <w:p w14:paraId="062579B5" w14:textId="4D7ECC40" w:rsidR="00B93596" w:rsidRPr="00B93596" w:rsidRDefault="00B93596" w:rsidP="00D30161">
      <w:pPr>
        <w:tabs>
          <w:tab w:val="left" w:pos="1217"/>
        </w:tabs>
        <w:spacing w:before="118"/>
        <w:jc w:val="both"/>
        <w:rPr>
          <w:bCs/>
          <w:iCs/>
        </w:rPr>
      </w:pPr>
      <w:r w:rsidRPr="00B93596">
        <w:t>In its 2019 concluding observations</w:t>
      </w:r>
      <w:r w:rsidR="00F77AB4">
        <w:t>,</w:t>
      </w:r>
      <w:r w:rsidRPr="00B93596">
        <w:t xml:space="preserve"> the UN Human Rights Committee noted the efforts to reform the legal aid system, however the Committee was concerned at the decrease in funding allocated in the legal aid sector and about the measures that the State party is contemplating, including a competitive tendering system for subsidized legal aid and an advisory body that can decide which cases qualify for subsidized legal aid and legal aid packages (</w:t>
      </w:r>
      <w:proofErr w:type="spellStart"/>
      <w:r w:rsidRPr="00B93596">
        <w:t>rechtshulppakket</w:t>
      </w:r>
      <w:proofErr w:type="spellEnd"/>
      <w:r w:rsidRPr="00B93596">
        <w:t>), which may have significant adverse effects on persons in a vulnerable position who are in most need</w:t>
      </w:r>
      <w:r>
        <w:t xml:space="preserve">. </w:t>
      </w:r>
      <w:r w:rsidRPr="00B93596">
        <w:t xml:space="preserve"> </w:t>
      </w:r>
      <w:r>
        <w:t>The Committee</w:t>
      </w:r>
      <w:r w:rsidR="00D30161">
        <w:t xml:space="preserve"> recommended that the Netherlands </w:t>
      </w:r>
      <w:r w:rsidRPr="00B93596">
        <w:rPr>
          <w:bCs/>
          <w:iCs/>
        </w:rPr>
        <w:t>review the ongoing reform measures in the legal aid system, with a view to ensuring that people, including the most vulnerable in all constituent countries, can benefit from the new system on an equal footing and to enha</w:t>
      </w:r>
      <w:r w:rsidR="00D30161">
        <w:rPr>
          <w:bCs/>
          <w:iCs/>
        </w:rPr>
        <w:t xml:space="preserve">ncing access to justice for all </w:t>
      </w:r>
      <w:r w:rsidRPr="00B93596">
        <w:t>(</w:t>
      </w:r>
      <w:hyperlink r:id="rId11" w:history="1">
        <w:r w:rsidRPr="00D30161">
          <w:rPr>
            <w:rStyle w:val="Hyperlink"/>
          </w:rPr>
          <w:t>CCPR/C/NLD/CO/5</w:t>
        </w:r>
      </w:hyperlink>
      <w:r w:rsidRPr="00B93596">
        <w:t>, para 46).</w:t>
      </w:r>
    </w:p>
    <w:p w14:paraId="5DE32C74" w14:textId="2A81DF8A" w:rsidR="0007496B" w:rsidRDefault="0007496B" w:rsidP="0007496B">
      <w:pPr>
        <w:pStyle w:val="ListParagraph"/>
        <w:widowControl w:val="0"/>
        <w:numPr>
          <w:ilvl w:val="0"/>
          <w:numId w:val="4"/>
        </w:numPr>
        <w:tabs>
          <w:tab w:val="left" w:pos="1216"/>
        </w:tabs>
        <w:autoSpaceDE w:val="0"/>
        <w:autoSpaceDN w:val="0"/>
        <w:spacing w:before="120" w:after="0" w:line="240" w:lineRule="auto"/>
        <w:ind w:left="1215"/>
        <w:contextualSpacing w:val="0"/>
        <w:rPr>
          <w:i/>
        </w:rPr>
      </w:pPr>
      <w:r>
        <w:rPr>
          <w:i/>
        </w:rPr>
        <w:t>Training of justice professionals (including judges, prosecutors, lawyers, court</w:t>
      </w:r>
      <w:r>
        <w:rPr>
          <w:i/>
          <w:spacing w:val="-15"/>
        </w:rPr>
        <w:t xml:space="preserve"> </w:t>
      </w:r>
      <w:r>
        <w:rPr>
          <w:i/>
        </w:rPr>
        <w:t>staff)</w:t>
      </w:r>
    </w:p>
    <w:p w14:paraId="088EF5FE" w14:textId="6E30C8A9" w:rsidR="00F77AB4" w:rsidRPr="00F77AB4" w:rsidRDefault="00F77AB4" w:rsidP="00F77AB4">
      <w:pPr>
        <w:widowControl w:val="0"/>
        <w:tabs>
          <w:tab w:val="left" w:pos="1217"/>
        </w:tabs>
        <w:autoSpaceDE w:val="0"/>
        <w:autoSpaceDN w:val="0"/>
        <w:spacing w:before="120" w:after="0" w:line="240" w:lineRule="auto"/>
        <w:jc w:val="both"/>
        <w:rPr>
          <w:bCs/>
          <w:iCs/>
        </w:rPr>
      </w:pPr>
      <w:r w:rsidRPr="00F77AB4">
        <w:t xml:space="preserve">In its 2019 concluding observations, the UN Human Rights Committee </w:t>
      </w:r>
      <w:r>
        <w:t xml:space="preserve">recommended to provide adequate training to law enforcement officials, judges and prosecutors on the promotion of racial, ethnic and religious diversity and to judges, prosecutors, law enforcement officials, immigration officers and staff working in all reception facilities, including on procedures for identifying victims of human trafficking </w:t>
      </w:r>
      <w:r w:rsidRPr="00F77AB4">
        <w:t xml:space="preserve"> (</w:t>
      </w:r>
      <w:hyperlink r:id="rId12" w:history="1">
        <w:r w:rsidRPr="00F77AB4">
          <w:rPr>
            <w:rStyle w:val="Hyperlink"/>
          </w:rPr>
          <w:t>CCPR/C/NLD/CO/5</w:t>
        </w:r>
      </w:hyperlink>
      <w:r>
        <w:t>, para 16d, 27d</w:t>
      </w:r>
      <w:r w:rsidRPr="00F77AB4">
        <w:t>).</w:t>
      </w:r>
    </w:p>
    <w:p w14:paraId="37200328" w14:textId="636EC6EB" w:rsidR="00F77AB4" w:rsidRDefault="00F77AB4" w:rsidP="00F77AB4">
      <w:pPr>
        <w:widowControl w:val="0"/>
        <w:tabs>
          <w:tab w:val="left" w:pos="1216"/>
        </w:tabs>
        <w:autoSpaceDE w:val="0"/>
        <w:autoSpaceDN w:val="0"/>
        <w:spacing w:before="120" w:after="0" w:line="240" w:lineRule="auto"/>
      </w:pPr>
    </w:p>
    <w:p w14:paraId="6F2D3D86" w14:textId="77777777" w:rsidR="0007496B" w:rsidRDefault="0007496B" w:rsidP="0007496B">
      <w:pPr>
        <w:pStyle w:val="ListParagraph"/>
        <w:widowControl w:val="0"/>
        <w:numPr>
          <w:ilvl w:val="0"/>
          <w:numId w:val="4"/>
        </w:numPr>
        <w:tabs>
          <w:tab w:val="left" w:pos="1216"/>
        </w:tabs>
        <w:autoSpaceDE w:val="0"/>
        <w:autoSpaceDN w:val="0"/>
        <w:spacing w:before="120" w:after="0" w:line="240" w:lineRule="auto"/>
        <w:ind w:left="1215" w:right="239" w:hanging="360"/>
        <w:contextualSpacing w:val="0"/>
        <w:rPr>
          <w:i/>
        </w:rPr>
      </w:pPr>
      <w:proofErr w:type="spellStart"/>
      <w:r>
        <w:rPr>
          <w:i/>
        </w:rPr>
        <w:t>Digitalisation</w:t>
      </w:r>
      <w:proofErr w:type="spellEnd"/>
      <w:r>
        <w:rPr>
          <w:i/>
        </w:rPr>
        <w:t xml:space="preserve"> (e.g. use of digital technology, particularly electronic communication tools, within the justice system and with court users, including resilience of justice systems in COVID-19</w:t>
      </w:r>
      <w:r>
        <w:rPr>
          <w:i/>
          <w:spacing w:val="1"/>
        </w:rPr>
        <w:t xml:space="preserve"> </w:t>
      </w:r>
      <w:r>
        <w:rPr>
          <w:i/>
        </w:rPr>
        <w:t>pandemic)</w:t>
      </w:r>
      <w:r>
        <w:rPr>
          <w:rStyle w:val="FootnoteReference"/>
          <w:i/>
        </w:rPr>
        <w:footnoteReference w:id="4"/>
      </w:r>
      <w:r>
        <w:rPr>
          <w:i/>
        </w:rPr>
        <w:t xml:space="preserve"> </w:t>
      </w:r>
    </w:p>
    <w:p w14:paraId="359E2049" w14:textId="77777777" w:rsidR="0007496B" w:rsidRDefault="0007496B" w:rsidP="0007496B">
      <w:pPr>
        <w:pStyle w:val="ListParagraph"/>
        <w:widowControl w:val="0"/>
        <w:numPr>
          <w:ilvl w:val="0"/>
          <w:numId w:val="4"/>
        </w:numPr>
        <w:tabs>
          <w:tab w:val="left" w:pos="1217"/>
        </w:tabs>
        <w:autoSpaceDE w:val="0"/>
        <w:autoSpaceDN w:val="0"/>
        <w:spacing w:before="121" w:after="0" w:line="240" w:lineRule="auto"/>
        <w:ind w:left="1215" w:right="409" w:hanging="360"/>
        <w:contextualSpacing w:val="0"/>
        <w:rPr>
          <w:i/>
        </w:rPr>
      </w:pPr>
      <w:r>
        <w:rPr>
          <w:i/>
        </w:rPr>
        <w:t>Use of assessment tools and standards (e.g. ICT systems for case management, court statistics and their transparency, monitoring, evaluation, surveys among court users or legal</w:t>
      </w:r>
      <w:r>
        <w:rPr>
          <w:i/>
          <w:spacing w:val="-1"/>
        </w:rPr>
        <w:t xml:space="preserve"> </w:t>
      </w:r>
      <w:r>
        <w:rPr>
          <w:i/>
        </w:rPr>
        <w:t>professionals)</w:t>
      </w:r>
    </w:p>
    <w:p w14:paraId="0E496BDC" w14:textId="77777777" w:rsidR="0007496B" w:rsidRDefault="0007496B" w:rsidP="0007496B">
      <w:pPr>
        <w:pStyle w:val="ListParagraph"/>
        <w:widowControl w:val="0"/>
        <w:numPr>
          <w:ilvl w:val="0"/>
          <w:numId w:val="4"/>
        </w:numPr>
        <w:tabs>
          <w:tab w:val="left" w:pos="1217"/>
        </w:tabs>
        <w:autoSpaceDE w:val="0"/>
        <w:autoSpaceDN w:val="0"/>
        <w:spacing w:before="121" w:after="0" w:line="240" w:lineRule="auto"/>
        <w:ind w:left="1215" w:right="425" w:hanging="360"/>
        <w:contextualSpacing w:val="0"/>
        <w:rPr>
          <w:i/>
        </w:rPr>
      </w:pPr>
      <w:r>
        <w:rPr>
          <w:i/>
        </w:rPr>
        <w:t xml:space="preserve">Geographical distribution and number of courts/jurisdictions (“judicial map”) and their </w:t>
      </w:r>
      <w:proofErr w:type="spellStart"/>
      <w:r>
        <w:rPr>
          <w:i/>
        </w:rPr>
        <w:t>specialisation</w:t>
      </w:r>
      <w:proofErr w:type="spellEnd"/>
    </w:p>
    <w:p w14:paraId="31BB9A82" w14:textId="77777777" w:rsidR="0007496B" w:rsidRDefault="0007496B" w:rsidP="0007496B">
      <w:pPr>
        <w:pStyle w:val="Heading2"/>
        <w:numPr>
          <w:ilvl w:val="0"/>
          <w:numId w:val="5"/>
        </w:numPr>
        <w:tabs>
          <w:tab w:val="left" w:pos="543"/>
          <w:tab w:val="left" w:pos="544"/>
        </w:tabs>
        <w:spacing w:before="118"/>
        <w:ind w:left="543"/>
      </w:pPr>
      <w:bookmarkStart w:id="4" w:name="C._Efficiency_of_the_justice_system4F"/>
      <w:bookmarkEnd w:id="4"/>
      <w:r>
        <w:t>Efficiency of the justice</w:t>
      </w:r>
      <w:r>
        <w:rPr>
          <w:spacing w:val="-8"/>
        </w:rPr>
        <w:t xml:space="preserve"> </w:t>
      </w:r>
      <w:r>
        <w:t>system</w:t>
      </w:r>
      <w:r>
        <w:rPr>
          <w:rStyle w:val="FootnoteReference"/>
        </w:rPr>
        <w:footnoteReference w:id="5"/>
      </w:r>
    </w:p>
    <w:p w14:paraId="052340ED" w14:textId="090F0F11" w:rsidR="0007496B" w:rsidRDefault="0007496B" w:rsidP="0007496B">
      <w:pPr>
        <w:pStyle w:val="ListParagraph"/>
        <w:widowControl w:val="0"/>
        <w:numPr>
          <w:ilvl w:val="0"/>
          <w:numId w:val="4"/>
        </w:numPr>
        <w:tabs>
          <w:tab w:val="left" w:pos="1217"/>
        </w:tabs>
        <w:autoSpaceDE w:val="0"/>
        <w:autoSpaceDN w:val="0"/>
        <w:spacing w:before="120" w:after="0" w:line="240" w:lineRule="auto"/>
        <w:ind w:hanging="362"/>
        <w:contextualSpacing w:val="0"/>
        <w:rPr>
          <w:i/>
        </w:rPr>
      </w:pPr>
      <w:r>
        <w:rPr>
          <w:i/>
        </w:rPr>
        <w:t>Length of</w:t>
      </w:r>
      <w:r>
        <w:rPr>
          <w:i/>
          <w:spacing w:val="-2"/>
        </w:rPr>
        <w:t xml:space="preserve"> </w:t>
      </w:r>
      <w:r>
        <w:rPr>
          <w:i/>
        </w:rPr>
        <w:t>proceedings</w:t>
      </w:r>
    </w:p>
    <w:p w14:paraId="1440A421" w14:textId="7FEC8188" w:rsidR="00F77AB4" w:rsidRPr="00F77AB4" w:rsidRDefault="00F77AB4" w:rsidP="00F77AB4">
      <w:pPr>
        <w:widowControl w:val="0"/>
        <w:tabs>
          <w:tab w:val="left" w:pos="1217"/>
        </w:tabs>
        <w:autoSpaceDE w:val="0"/>
        <w:autoSpaceDN w:val="0"/>
        <w:spacing w:before="120" w:after="0" w:line="240" w:lineRule="auto"/>
        <w:jc w:val="both"/>
        <w:rPr>
          <w:bCs/>
          <w:iCs/>
        </w:rPr>
      </w:pPr>
      <w:r w:rsidRPr="00F77AB4">
        <w:t xml:space="preserve">In its 2019 concluding observations, the UN Human Rights Committee </w:t>
      </w:r>
      <w:r>
        <w:t>was concerned by the substantial numbers of asylum cases and family reunification cases pending decisions and by long delay in judicial reviews of immigration detention decisions.</w:t>
      </w:r>
      <w:r w:rsidR="004832FF">
        <w:t xml:space="preserve"> The Committee recommended to intensify  efforts to reduce the backlogs in the asylum application process and the family reunification process and to facilitate prompt judicial review of immigration detention decisions</w:t>
      </w:r>
      <w:r w:rsidR="004832FF" w:rsidRPr="00F77AB4">
        <w:t xml:space="preserve"> </w:t>
      </w:r>
      <w:r w:rsidRPr="00F77AB4">
        <w:t>(</w:t>
      </w:r>
      <w:hyperlink r:id="rId13" w:history="1">
        <w:r w:rsidRPr="00F77AB4">
          <w:rPr>
            <w:rStyle w:val="Hyperlink"/>
          </w:rPr>
          <w:t>CCPR/C/NLD/CO/5</w:t>
        </w:r>
      </w:hyperlink>
      <w:r w:rsidR="004832FF">
        <w:t>, para 17, 19e, 24, 25d</w:t>
      </w:r>
      <w:r w:rsidRPr="00F77AB4">
        <w:t>).</w:t>
      </w:r>
    </w:p>
    <w:p w14:paraId="347E7374" w14:textId="237A6387" w:rsidR="0007496B" w:rsidRDefault="0007496B" w:rsidP="00E877E0">
      <w:pPr>
        <w:pStyle w:val="Heading2"/>
        <w:spacing w:before="33"/>
        <w:ind w:left="0" w:firstLine="0"/>
      </w:pPr>
    </w:p>
    <w:p w14:paraId="721FFB2F" w14:textId="70ADBDB9" w:rsidR="0007496B" w:rsidRDefault="0007496B" w:rsidP="0007496B">
      <w:pPr>
        <w:pStyle w:val="Heading2"/>
        <w:spacing w:before="33"/>
        <w:ind w:left="116" w:firstLine="0"/>
      </w:pPr>
      <w:r>
        <w:t>Other – please specify</w:t>
      </w:r>
    </w:p>
    <w:p w14:paraId="20BD0EC4" w14:textId="77777777" w:rsidR="007F1D15" w:rsidRDefault="007F1D15" w:rsidP="0007496B">
      <w:pPr>
        <w:pStyle w:val="Heading2"/>
        <w:spacing w:before="33"/>
        <w:ind w:left="116" w:firstLine="0"/>
      </w:pPr>
    </w:p>
    <w:p w14:paraId="45629322" w14:textId="5EF4CC95" w:rsidR="008169D1" w:rsidRPr="00E877E0" w:rsidRDefault="007F47A1" w:rsidP="00E877E0">
      <w:pPr>
        <w:jc w:val="both"/>
        <w:rPr>
          <w:bCs/>
          <w:i/>
        </w:rPr>
      </w:pPr>
      <w:r w:rsidRPr="00E877E0">
        <w:rPr>
          <w:bCs/>
          <w:i/>
        </w:rPr>
        <w:t>Juvenile justice</w:t>
      </w:r>
      <w:r w:rsidR="00E877E0">
        <w:rPr>
          <w:bCs/>
          <w:i/>
        </w:rPr>
        <w:t xml:space="preserve"> - </w:t>
      </w:r>
      <w:r w:rsidRPr="007F1D15">
        <w:t>In its</w:t>
      </w:r>
      <w:r w:rsidR="001E3EB1">
        <w:t xml:space="preserve"> 2018</w:t>
      </w:r>
      <w:r w:rsidRPr="007F1D15">
        <w:t xml:space="preserve"> Concluding Observations, the UN Committee against Torture raised concern that pursuant to the Adolescent Criminal Law and section 77 (b) of the Dutch Penal Code, minors aged 16 and 17 may be tried as adults under ordinary criminal law in cases of grave offences (for example homicide) and may be sent to serve their sentence in a</w:t>
      </w:r>
      <w:r w:rsidR="00945B7F">
        <w:t>dult penitentiary institutions (</w:t>
      </w:r>
      <w:hyperlink r:id="rId14" w:history="1">
        <w:r w:rsidR="007F1D15" w:rsidRPr="00E013A7">
          <w:rPr>
            <w:rStyle w:val="Hyperlink"/>
            <w:iCs/>
          </w:rPr>
          <w:t>CAT/C/NLD/CO/7</w:t>
        </w:r>
      </w:hyperlink>
      <w:r w:rsidR="00E877E0">
        <w:rPr>
          <w:rStyle w:val="Hyperlink"/>
          <w:iCs/>
        </w:rPr>
        <w:t xml:space="preserve">, </w:t>
      </w:r>
      <w:r w:rsidR="007F1D15" w:rsidRPr="007F1D15">
        <w:rPr>
          <w:i/>
          <w:iCs/>
        </w:rPr>
        <w:t xml:space="preserve"> </w:t>
      </w:r>
      <w:r w:rsidR="007F1D15" w:rsidRPr="007F1D15">
        <w:t>para 36)</w:t>
      </w:r>
      <w:r w:rsidR="00561516">
        <w:t>.</w:t>
      </w:r>
    </w:p>
    <w:p w14:paraId="6C242B52" w14:textId="2078EEC4" w:rsidR="00383D96" w:rsidRPr="00785F83" w:rsidRDefault="00383D96" w:rsidP="001E3EB1">
      <w:pPr>
        <w:pStyle w:val="Heading2"/>
        <w:spacing w:before="33"/>
        <w:ind w:left="116" w:hanging="116"/>
        <w:rPr>
          <w:rFonts w:asciiTheme="minorHAnsi" w:hAnsiTheme="minorHAnsi" w:cstheme="minorHAnsi"/>
          <w:b w:val="0"/>
          <w:bCs w:val="0"/>
          <w:i w:val="0"/>
          <w:iCs/>
        </w:rPr>
      </w:pPr>
      <w:r w:rsidRPr="00785F83">
        <w:rPr>
          <w:rFonts w:asciiTheme="minorHAnsi" w:hAnsiTheme="minorHAnsi" w:cstheme="minorHAnsi"/>
          <w:i w:val="0"/>
          <w:iCs/>
        </w:rPr>
        <w:t xml:space="preserve"> </w:t>
      </w:r>
    </w:p>
    <w:p w14:paraId="5E376BE0" w14:textId="4EF3ADBF" w:rsidR="00945B7F" w:rsidRPr="0007551F" w:rsidRDefault="00E877E0" w:rsidP="00945B7F">
      <w:pPr>
        <w:pStyle w:val="CommentText"/>
        <w:jc w:val="both"/>
        <w:rPr>
          <w:sz w:val="22"/>
          <w:szCs w:val="22"/>
        </w:rPr>
      </w:pPr>
      <w:r w:rsidRPr="00E877E0">
        <w:rPr>
          <w:i/>
          <w:sz w:val="22"/>
          <w:szCs w:val="22"/>
        </w:rPr>
        <w:t>Hate speech</w:t>
      </w:r>
      <w:r w:rsidR="00E56C53">
        <w:rPr>
          <w:i/>
          <w:sz w:val="22"/>
          <w:szCs w:val="22"/>
        </w:rPr>
        <w:t>, pretrial detention</w:t>
      </w:r>
      <w:r>
        <w:rPr>
          <w:sz w:val="22"/>
          <w:szCs w:val="22"/>
        </w:rPr>
        <w:t xml:space="preserve"> - </w:t>
      </w:r>
      <w:r w:rsidR="004832FF" w:rsidRPr="004832FF">
        <w:rPr>
          <w:sz w:val="22"/>
          <w:szCs w:val="22"/>
        </w:rPr>
        <w:t xml:space="preserve">In its 2019 concluding observations, the UN Human Rights Committee </w:t>
      </w:r>
      <w:r w:rsidR="004832FF">
        <w:rPr>
          <w:sz w:val="22"/>
          <w:szCs w:val="22"/>
        </w:rPr>
        <w:t>regretted</w:t>
      </w:r>
      <w:r w:rsidR="004832FF" w:rsidRPr="004832FF">
        <w:rPr>
          <w:sz w:val="22"/>
          <w:szCs w:val="22"/>
        </w:rPr>
        <w:t xml:space="preserve"> the lack of information on </w:t>
      </w:r>
      <w:r w:rsidR="004832FF" w:rsidRPr="00945B7F">
        <w:rPr>
          <w:sz w:val="22"/>
          <w:szCs w:val="22"/>
        </w:rPr>
        <w:t>the prosecution of hate crimes</w:t>
      </w:r>
      <w:r w:rsidR="004832FF" w:rsidRPr="004832FF">
        <w:rPr>
          <w:sz w:val="22"/>
          <w:szCs w:val="22"/>
        </w:rPr>
        <w:t xml:space="preserve"> in recent years.</w:t>
      </w:r>
      <w:r w:rsidR="004832FF">
        <w:rPr>
          <w:sz w:val="22"/>
          <w:szCs w:val="22"/>
        </w:rPr>
        <w:t xml:space="preserve"> The Committee recommended to </w:t>
      </w:r>
      <w:r w:rsidR="00945B7F">
        <w:rPr>
          <w:sz w:val="22"/>
          <w:szCs w:val="22"/>
        </w:rPr>
        <w:t>i</w:t>
      </w:r>
      <w:r w:rsidR="004832FF" w:rsidRPr="004832FF">
        <w:rPr>
          <w:sz w:val="22"/>
          <w:szCs w:val="22"/>
        </w:rPr>
        <w:t xml:space="preserve">nvestigate hate crimes </w:t>
      </w:r>
      <w:r w:rsidR="00945B7F">
        <w:rPr>
          <w:sz w:val="22"/>
          <w:szCs w:val="22"/>
        </w:rPr>
        <w:t xml:space="preserve">and </w:t>
      </w:r>
      <w:r w:rsidR="00945B7F" w:rsidRPr="004832FF">
        <w:rPr>
          <w:sz w:val="22"/>
          <w:szCs w:val="22"/>
        </w:rPr>
        <w:t xml:space="preserve">cases of </w:t>
      </w:r>
      <w:r w:rsidR="00945B7F" w:rsidRPr="00945B7F">
        <w:rPr>
          <w:sz w:val="22"/>
          <w:szCs w:val="22"/>
        </w:rPr>
        <w:t xml:space="preserve">trafficking and </w:t>
      </w:r>
      <w:proofErr w:type="spellStart"/>
      <w:r w:rsidR="00945B7F" w:rsidRPr="00945B7F">
        <w:rPr>
          <w:sz w:val="22"/>
          <w:szCs w:val="22"/>
        </w:rPr>
        <w:t>labour</w:t>
      </w:r>
      <w:proofErr w:type="spellEnd"/>
      <w:r w:rsidR="00945B7F" w:rsidRPr="00945B7F">
        <w:rPr>
          <w:sz w:val="22"/>
          <w:szCs w:val="22"/>
        </w:rPr>
        <w:t xml:space="preserve"> exploitation</w:t>
      </w:r>
      <w:r w:rsidR="00945B7F">
        <w:rPr>
          <w:sz w:val="22"/>
          <w:szCs w:val="22"/>
        </w:rPr>
        <w:t xml:space="preserve"> </w:t>
      </w:r>
      <w:r w:rsidR="004832FF" w:rsidRPr="004832FF">
        <w:rPr>
          <w:sz w:val="22"/>
          <w:szCs w:val="22"/>
        </w:rPr>
        <w:t>thoroughly, prosecute suspected perpetrators where appropriate and, if they are convicted, punish them and provide</w:t>
      </w:r>
      <w:r w:rsidR="00945B7F">
        <w:rPr>
          <w:sz w:val="22"/>
          <w:szCs w:val="22"/>
        </w:rPr>
        <w:t xml:space="preserve"> victims with adequate remedies. The Committee was also </w:t>
      </w:r>
      <w:r w:rsidR="00945B7F" w:rsidRPr="00945B7F">
        <w:rPr>
          <w:sz w:val="22"/>
          <w:szCs w:val="22"/>
        </w:rPr>
        <w:t xml:space="preserve">concerned by the insufficient reasoning provided in judicial decisions ordering pretrial detention </w:t>
      </w:r>
      <w:r w:rsidR="00945B7F">
        <w:rPr>
          <w:sz w:val="22"/>
          <w:szCs w:val="22"/>
        </w:rPr>
        <w:t xml:space="preserve">and recommended to </w:t>
      </w:r>
      <w:r w:rsidR="00945B7F" w:rsidRPr="00945B7F">
        <w:rPr>
          <w:sz w:val="22"/>
          <w:szCs w:val="22"/>
        </w:rPr>
        <w:t xml:space="preserve">strengthen the reasoning </w:t>
      </w:r>
      <w:r w:rsidR="00945B7F">
        <w:rPr>
          <w:sz w:val="22"/>
          <w:szCs w:val="22"/>
        </w:rPr>
        <w:t>(</w:t>
      </w:r>
      <w:hyperlink r:id="rId15" w:history="1">
        <w:r w:rsidR="00945B7F" w:rsidRPr="00945B7F">
          <w:rPr>
            <w:rStyle w:val="Hyperlink"/>
            <w:sz w:val="22"/>
            <w:szCs w:val="22"/>
          </w:rPr>
          <w:t>CCPR/C/NLD/CO/5</w:t>
        </w:r>
      </w:hyperlink>
      <w:r w:rsidR="00945B7F">
        <w:rPr>
          <w:sz w:val="22"/>
          <w:szCs w:val="22"/>
        </w:rPr>
        <w:t>, para 15, 16c,</w:t>
      </w:r>
      <w:r>
        <w:rPr>
          <w:sz w:val="22"/>
          <w:szCs w:val="22"/>
        </w:rPr>
        <w:t xml:space="preserve"> </w:t>
      </w:r>
      <w:r w:rsidR="00945B7F">
        <w:rPr>
          <w:sz w:val="22"/>
          <w:szCs w:val="22"/>
        </w:rPr>
        <w:t>27b, 44, 45)</w:t>
      </w:r>
      <w:r w:rsidR="0007551F">
        <w:rPr>
          <w:sz w:val="22"/>
          <w:szCs w:val="22"/>
        </w:rPr>
        <w:t>.</w:t>
      </w:r>
    </w:p>
    <w:p w14:paraId="2E639F09" w14:textId="77777777" w:rsidR="00945B7F" w:rsidRPr="00945B7F" w:rsidRDefault="00945B7F" w:rsidP="0007551F">
      <w:pPr>
        <w:pStyle w:val="Heading2"/>
        <w:spacing w:before="33"/>
        <w:ind w:left="0" w:firstLine="0"/>
        <w:rPr>
          <w:rFonts w:cstheme="minorHAnsi"/>
          <w:b w:val="0"/>
          <w:i w:val="0"/>
          <w:iCs/>
        </w:rPr>
      </w:pPr>
    </w:p>
    <w:p w14:paraId="3ED8E45A" w14:textId="63E6FA21" w:rsidR="00945B7F" w:rsidRPr="0007551F" w:rsidRDefault="00E56C53" w:rsidP="0007551F">
      <w:pPr>
        <w:pStyle w:val="Heading2"/>
        <w:spacing w:before="33"/>
        <w:ind w:left="116" w:firstLine="0"/>
        <w:jc w:val="both"/>
        <w:rPr>
          <w:rFonts w:cstheme="minorHAnsi"/>
          <w:b w:val="0"/>
          <w:i w:val="0"/>
          <w:iCs/>
        </w:rPr>
      </w:pPr>
      <w:r w:rsidRPr="00E56C53">
        <w:rPr>
          <w:rFonts w:cstheme="minorHAnsi"/>
          <w:b w:val="0"/>
          <w:iCs/>
        </w:rPr>
        <w:t>Discriminatory crimes</w:t>
      </w:r>
      <w:r>
        <w:rPr>
          <w:rFonts w:cstheme="minorHAnsi"/>
          <w:b w:val="0"/>
          <w:i w:val="0"/>
          <w:iCs/>
        </w:rPr>
        <w:t xml:space="preserve"> - </w:t>
      </w:r>
      <w:r w:rsidR="00A87D15">
        <w:rPr>
          <w:rFonts w:cstheme="minorHAnsi"/>
          <w:b w:val="0"/>
          <w:i w:val="0"/>
          <w:iCs/>
        </w:rPr>
        <w:t xml:space="preserve">In the 2020 report of her visit to the </w:t>
      </w:r>
      <w:proofErr w:type="spellStart"/>
      <w:proofErr w:type="gramStart"/>
      <w:r w:rsidR="00A87D15">
        <w:rPr>
          <w:rFonts w:cstheme="minorHAnsi"/>
          <w:b w:val="0"/>
          <w:i w:val="0"/>
          <w:iCs/>
        </w:rPr>
        <w:t>Netherlands,t</w:t>
      </w:r>
      <w:r w:rsidR="0007551F">
        <w:rPr>
          <w:rFonts w:cstheme="minorHAnsi"/>
          <w:b w:val="0"/>
          <w:i w:val="0"/>
          <w:iCs/>
        </w:rPr>
        <w:t>he</w:t>
      </w:r>
      <w:proofErr w:type="spellEnd"/>
      <w:proofErr w:type="gramEnd"/>
      <w:r w:rsidR="0007551F">
        <w:rPr>
          <w:rFonts w:cstheme="minorHAnsi"/>
          <w:b w:val="0"/>
          <w:i w:val="0"/>
          <w:iCs/>
        </w:rPr>
        <w:t xml:space="preserve"> UN </w:t>
      </w:r>
      <w:r w:rsidR="00945B7F" w:rsidRPr="00945B7F">
        <w:rPr>
          <w:rFonts w:cstheme="minorHAnsi"/>
          <w:b w:val="0"/>
          <w:i w:val="0"/>
          <w:iCs/>
        </w:rPr>
        <w:t>Special Rapporteur on contemporary forms of racism, racial discrimination, xenophob</w:t>
      </w:r>
      <w:r w:rsidR="00A87D15">
        <w:rPr>
          <w:rFonts w:cstheme="minorHAnsi"/>
          <w:b w:val="0"/>
          <w:i w:val="0"/>
          <w:iCs/>
        </w:rPr>
        <w:t xml:space="preserve">ia and related intolerance noted that, </w:t>
      </w:r>
      <w:r w:rsidR="0007551F">
        <w:rPr>
          <w:rFonts w:cstheme="minorHAnsi"/>
          <w:b w:val="0"/>
          <w:i w:val="0"/>
          <w:iCs/>
        </w:rPr>
        <w:t>a</w:t>
      </w:r>
      <w:r w:rsidR="0007551F" w:rsidRPr="00945B7F">
        <w:rPr>
          <w:rFonts w:cstheme="minorHAnsi"/>
          <w:b w:val="0"/>
          <w:i w:val="0"/>
          <w:iCs/>
        </w:rPr>
        <w:t>lthough much work remain</w:t>
      </w:r>
      <w:r w:rsidR="00A87D15">
        <w:rPr>
          <w:rFonts w:cstheme="minorHAnsi"/>
          <w:b w:val="0"/>
          <w:i w:val="0"/>
          <w:iCs/>
        </w:rPr>
        <w:t>ed</w:t>
      </w:r>
      <w:r w:rsidR="0007551F" w:rsidRPr="00945B7F">
        <w:rPr>
          <w:rFonts w:cstheme="minorHAnsi"/>
          <w:b w:val="0"/>
          <w:i w:val="0"/>
          <w:iCs/>
        </w:rPr>
        <w:t xml:space="preserve"> to be done to ensure accountability, the Government ha</w:t>
      </w:r>
      <w:r w:rsidR="00A87D15">
        <w:rPr>
          <w:rFonts w:cstheme="minorHAnsi"/>
          <w:b w:val="0"/>
          <w:i w:val="0"/>
          <w:iCs/>
        </w:rPr>
        <w:t>d</w:t>
      </w:r>
      <w:r w:rsidR="0007551F" w:rsidRPr="00945B7F">
        <w:rPr>
          <w:rFonts w:cstheme="minorHAnsi"/>
          <w:b w:val="0"/>
          <w:i w:val="0"/>
          <w:iCs/>
        </w:rPr>
        <w:t xml:space="preserve"> commendably taken action to prosecute those responsible for discriminatory crimes and speech. The Special Rapporteur was encouraged to learn of prosecutions of high-ranking politicians. As noted by the European Commission against Racism and Intolerance, however, sanctions for those who </w:t>
      </w:r>
      <w:r w:rsidR="00A87D15">
        <w:rPr>
          <w:rFonts w:cstheme="minorHAnsi"/>
          <w:b w:val="0"/>
          <w:i w:val="0"/>
          <w:iCs/>
        </w:rPr>
        <w:t>were</w:t>
      </w:r>
      <w:r w:rsidR="0007551F" w:rsidRPr="00945B7F">
        <w:rPr>
          <w:rFonts w:cstheme="minorHAnsi"/>
          <w:b w:val="0"/>
          <w:i w:val="0"/>
          <w:iCs/>
        </w:rPr>
        <w:t xml:space="preserve"> convicted of discrimination remain</w:t>
      </w:r>
      <w:r w:rsidR="00A87D15">
        <w:rPr>
          <w:rFonts w:cstheme="minorHAnsi"/>
          <w:b w:val="0"/>
          <w:i w:val="0"/>
          <w:iCs/>
        </w:rPr>
        <w:t>ed</w:t>
      </w:r>
      <w:r w:rsidR="0007551F" w:rsidRPr="00945B7F">
        <w:rPr>
          <w:rFonts w:cstheme="minorHAnsi"/>
          <w:b w:val="0"/>
          <w:i w:val="0"/>
          <w:iCs/>
        </w:rPr>
        <w:t xml:space="preserve"> disproportionately low relative to their severity, undercutting the deterrent effect of the punishments. For example, the District Court of </w:t>
      </w:r>
      <w:proofErr w:type="gramStart"/>
      <w:r w:rsidR="0007551F" w:rsidRPr="00945B7F">
        <w:rPr>
          <w:rFonts w:cstheme="minorHAnsi"/>
          <w:b w:val="0"/>
          <w:i w:val="0"/>
          <w:iCs/>
        </w:rPr>
        <w:t>The</w:t>
      </w:r>
      <w:proofErr w:type="gramEnd"/>
      <w:r w:rsidR="0007551F" w:rsidRPr="00945B7F">
        <w:rPr>
          <w:rFonts w:cstheme="minorHAnsi"/>
          <w:b w:val="0"/>
          <w:i w:val="0"/>
          <w:iCs/>
        </w:rPr>
        <w:t xml:space="preserve"> Hague convicted a right-wing politician who had sung an anti-Moroccan chant during a political rally for inciting discrimination and insult. Because the defendant was a democratically elected member of parliament, the Court considered the case exceptional. The Court decided that it need not follow sentencing for other cases inciting discrimination and insult; in the Court’s eyes, declaring a politician guilty without imposing a punishment was sufficient.</w:t>
      </w:r>
      <w:r w:rsidR="0007551F">
        <w:rPr>
          <w:rFonts w:cstheme="minorHAnsi"/>
          <w:b w:val="0"/>
          <w:i w:val="0"/>
          <w:iCs/>
        </w:rPr>
        <w:t xml:space="preserve"> The</w:t>
      </w:r>
      <w:r w:rsidR="0007551F" w:rsidRPr="0007551F">
        <w:rPr>
          <w:rFonts w:cstheme="minorHAnsi"/>
          <w:b w:val="0"/>
          <w:i w:val="0"/>
          <w:iCs/>
        </w:rPr>
        <w:t xml:space="preserve"> </w:t>
      </w:r>
      <w:r w:rsidR="0007551F">
        <w:rPr>
          <w:rFonts w:cstheme="minorHAnsi"/>
          <w:b w:val="0"/>
          <w:i w:val="0"/>
          <w:iCs/>
        </w:rPr>
        <w:t>Special Rapporteur was</w:t>
      </w:r>
      <w:r w:rsidR="0007551F" w:rsidRPr="00945B7F">
        <w:rPr>
          <w:rFonts w:cstheme="minorHAnsi"/>
          <w:b w:val="0"/>
          <w:i w:val="0"/>
          <w:iCs/>
        </w:rPr>
        <w:t xml:space="preserve"> concerned, moreover, that those prosecuted for racist violence and disorderly conduct for attacking people peacefully protesting against racism have received minimal sanctions. For example, those convicted of attacking peaceful anti</w:t>
      </w:r>
      <w:r w:rsidR="00A87D15">
        <w:rPr>
          <w:rFonts w:cstheme="minorHAnsi"/>
          <w:b w:val="0"/>
          <w:i w:val="0"/>
          <w:iCs/>
        </w:rPr>
        <w:t xml:space="preserve"> </w:t>
      </w:r>
      <w:r w:rsidR="0007551F" w:rsidRPr="00945B7F">
        <w:rPr>
          <w:rFonts w:cstheme="minorHAnsi"/>
          <w:b w:val="0"/>
          <w:i w:val="0"/>
          <w:iCs/>
        </w:rPr>
        <w:t>Black Piet protesters in 2018 receive</w:t>
      </w:r>
      <w:r w:rsidR="00A87D15">
        <w:rPr>
          <w:rFonts w:cstheme="minorHAnsi"/>
          <w:b w:val="0"/>
          <w:i w:val="0"/>
          <w:iCs/>
        </w:rPr>
        <w:t>d fines and community service. According to the Special Rapporteur, s</w:t>
      </w:r>
      <w:r w:rsidR="0007551F" w:rsidRPr="00945B7F">
        <w:rPr>
          <w:rFonts w:cstheme="minorHAnsi"/>
          <w:b w:val="0"/>
          <w:i w:val="0"/>
          <w:iCs/>
        </w:rPr>
        <w:t xml:space="preserve">uch sentences </w:t>
      </w:r>
      <w:r w:rsidR="00A87D15">
        <w:rPr>
          <w:rFonts w:cstheme="minorHAnsi"/>
          <w:b w:val="0"/>
          <w:i w:val="0"/>
          <w:iCs/>
        </w:rPr>
        <w:t>did</w:t>
      </w:r>
      <w:r w:rsidR="0007551F" w:rsidRPr="00945B7F">
        <w:rPr>
          <w:rFonts w:cstheme="minorHAnsi"/>
          <w:b w:val="0"/>
          <w:i w:val="0"/>
          <w:iCs/>
        </w:rPr>
        <w:t xml:space="preserve"> not send a message that </w:t>
      </w:r>
      <w:r w:rsidR="00A87D15">
        <w:rPr>
          <w:rFonts w:cstheme="minorHAnsi"/>
          <w:b w:val="0"/>
          <w:i w:val="0"/>
          <w:iCs/>
        </w:rPr>
        <w:t>was</w:t>
      </w:r>
      <w:r w:rsidR="0007551F" w:rsidRPr="00945B7F">
        <w:rPr>
          <w:rFonts w:cstheme="minorHAnsi"/>
          <w:b w:val="0"/>
          <w:i w:val="0"/>
          <w:iCs/>
        </w:rPr>
        <w:t xml:space="preserve"> sufficiently strong to deter others from engaging in similarly offensive </w:t>
      </w:r>
      <w:proofErr w:type="spellStart"/>
      <w:r w:rsidR="0007551F" w:rsidRPr="00945B7F">
        <w:rPr>
          <w:rFonts w:cstheme="minorHAnsi"/>
          <w:b w:val="0"/>
          <w:i w:val="0"/>
          <w:iCs/>
        </w:rPr>
        <w:t>behaviour</w:t>
      </w:r>
      <w:proofErr w:type="spellEnd"/>
      <w:r w:rsidR="0007551F" w:rsidRPr="00945B7F">
        <w:rPr>
          <w:rFonts w:cstheme="minorHAnsi"/>
          <w:b w:val="0"/>
          <w:i w:val="0"/>
          <w:iCs/>
        </w:rPr>
        <w:t>.</w:t>
      </w:r>
      <w:r w:rsidR="0007551F">
        <w:rPr>
          <w:rFonts w:cstheme="minorHAnsi"/>
          <w:b w:val="0"/>
          <w:i w:val="0"/>
          <w:iCs/>
        </w:rPr>
        <w:t xml:space="preserve"> She recommended that the Netherlands e</w:t>
      </w:r>
      <w:r w:rsidR="0007551F" w:rsidRPr="00945B7F">
        <w:rPr>
          <w:rFonts w:cstheme="minorHAnsi"/>
          <w:b w:val="0"/>
          <w:i w:val="0"/>
          <w:iCs/>
        </w:rPr>
        <w:t>nsure that racial and ethnic minorities enjoy effective protection from and access to rem</w:t>
      </w:r>
      <w:r w:rsidR="0007551F">
        <w:rPr>
          <w:rFonts w:cstheme="minorHAnsi"/>
          <w:b w:val="0"/>
          <w:i w:val="0"/>
          <w:iCs/>
        </w:rPr>
        <w:t>edies for racial discrimination (</w:t>
      </w:r>
      <w:hyperlink r:id="rId16" w:history="1">
        <w:r w:rsidR="0007551F" w:rsidRPr="0007551F">
          <w:rPr>
            <w:rStyle w:val="Hyperlink"/>
            <w:rFonts w:cstheme="minorHAnsi"/>
            <w:b w:val="0"/>
            <w:i w:val="0"/>
            <w:iCs/>
          </w:rPr>
          <w:t>A/HRC/44/57/Add.2</w:t>
        </w:r>
      </w:hyperlink>
      <w:r w:rsidR="0007551F">
        <w:rPr>
          <w:rFonts w:cstheme="minorHAnsi"/>
          <w:b w:val="0"/>
          <w:i w:val="0"/>
          <w:iCs/>
        </w:rPr>
        <w:t xml:space="preserve">, para 48, 49, 98b). </w:t>
      </w:r>
    </w:p>
    <w:p w14:paraId="6141195A" w14:textId="2F16AB51" w:rsidR="00383D96" w:rsidRPr="00785F83" w:rsidRDefault="00383D96" w:rsidP="00945B7F">
      <w:pPr>
        <w:pStyle w:val="Heading2"/>
        <w:spacing w:before="33"/>
        <w:ind w:left="0" w:firstLine="0"/>
        <w:rPr>
          <w:rFonts w:asciiTheme="minorHAnsi" w:hAnsiTheme="minorHAnsi" w:cstheme="minorHAnsi"/>
          <w:b w:val="0"/>
          <w:bCs w:val="0"/>
          <w:i w:val="0"/>
          <w:iCs/>
        </w:rPr>
      </w:pPr>
    </w:p>
    <w:p w14:paraId="4FF4364E" w14:textId="77777777" w:rsidR="0007496B" w:rsidRDefault="0007496B" w:rsidP="0007496B">
      <w:pPr>
        <w:pStyle w:val="BodyText"/>
        <w:spacing w:before="7"/>
        <w:ind w:left="0" w:firstLine="0"/>
        <w:rPr>
          <w:b/>
        </w:rPr>
      </w:pPr>
    </w:p>
    <w:p w14:paraId="66D42E78" w14:textId="77777777" w:rsidR="0007496B" w:rsidRDefault="0007496B" w:rsidP="0007496B">
      <w:pPr>
        <w:pStyle w:val="ListParagraph"/>
        <w:widowControl w:val="0"/>
        <w:numPr>
          <w:ilvl w:val="0"/>
          <w:numId w:val="6"/>
        </w:numPr>
        <w:shd w:val="clear" w:color="auto" w:fill="E7E6E6" w:themeFill="background2"/>
        <w:tabs>
          <w:tab w:val="left" w:pos="480"/>
        </w:tabs>
        <w:autoSpaceDE w:val="0"/>
        <w:autoSpaceDN w:val="0"/>
        <w:spacing w:after="0" w:line="240" w:lineRule="auto"/>
        <w:ind w:left="479" w:hanging="364"/>
        <w:contextualSpacing w:val="0"/>
        <w:rPr>
          <w:b/>
        </w:rPr>
      </w:pPr>
      <w:bookmarkStart w:id="5" w:name="II._Anti-corruption_framework"/>
      <w:bookmarkEnd w:id="5"/>
      <w:r>
        <w:rPr>
          <w:b/>
        </w:rPr>
        <w:t>Anti-corruption</w:t>
      </w:r>
      <w:r>
        <w:rPr>
          <w:b/>
          <w:spacing w:val="-2"/>
        </w:rPr>
        <w:t xml:space="preserve"> </w:t>
      </w:r>
      <w:r>
        <w:rPr>
          <w:b/>
        </w:rPr>
        <w:t>framework</w:t>
      </w:r>
    </w:p>
    <w:p w14:paraId="75078D27" w14:textId="77777777" w:rsidR="0007496B" w:rsidRDefault="0007496B" w:rsidP="0007496B">
      <w:pPr>
        <w:pStyle w:val="BodyText"/>
        <w:spacing w:before="1"/>
        <w:ind w:left="0" w:firstLine="0"/>
        <w:rPr>
          <w:b/>
          <w:i w:val="0"/>
          <w:sz w:val="19"/>
        </w:rPr>
      </w:pPr>
    </w:p>
    <w:p w14:paraId="3DBF1006" w14:textId="77777777" w:rsidR="0007496B" w:rsidRDefault="0007496B" w:rsidP="0007496B">
      <w:pPr>
        <w:pStyle w:val="ListParagraph"/>
        <w:widowControl w:val="0"/>
        <w:numPr>
          <w:ilvl w:val="0"/>
          <w:numId w:val="3"/>
        </w:numPr>
        <w:tabs>
          <w:tab w:val="left" w:pos="543"/>
          <w:tab w:val="left" w:pos="545"/>
        </w:tabs>
        <w:autoSpaceDE w:val="0"/>
        <w:autoSpaceDN w:val="0"/>
        <w:spacing w:after="0" w:line="240" w:lineRule="auto"/>
        <w:ind w:hanging="429"/>
        <w:contextualSpacing w:val="0"/>
        <w:rPr>
          <w:b/>
          <w:i/>
        </w:rPr>
      </w:pPr>
      <w:bookmarkStart w:id="6" w:name="A._The_institutional_framework_capacity_"/>
      <w:bookmarkEnd w:id="6"/>
      <w:r>
        <w:rPr>
          <w:b/>
          <w:i/>
        </w:rPr>
        <w:t>The</w:t>
      </w:r>
      <w:r>
        <w:rPr>
          <w:b/>
          <w:i/>
          <w:spacing w:val="4"/>
        </w:rPr>
        <w:t xml:space="preserve"> </w:t>
      </w:r>
      <w:r>
        <w:rPr>
          <w:b/>
          <w:i/>
        </w:rPr>
        <w:t>institutional</w:t>
      </w:r>
      <w:r>
        <w:rPr>
          <w:b/>
          <w:i/>
          <w:spacing w:val="9"/>
        </w:rPr>
        <w:t xml:space="preserve"> </w:t>
      </w:r>
      <w:r>
        <w:rPr>
          <w:b/>
          <w:i/>
        </w:rPr>
        <w:t>framework</w:t>
      </w:r>
      <w:r>
        <w:rPr>
          <w:b/>
          <w:i/>
          <w:spacing w:val="7"/>
        </w:rPr>
        <w:t xml:space="preserve"> </w:t>
      </w:r>
      <w:r>
        <w:rPr>
          <w:b/>
          <w:i/>
        </w:rPr>
        <w:t>capacity</w:t>
      </w:r>
      <w:r>
        <w:rPr>
          <w:b/>
          <w:i/>
          <w:spacing w:val="7"/>
        </w:rPr>
        <w:t xml:space="preserve"> </w:t>
      </w:r>
      <w:r>
        <w:rPr>
          <w:b/>
          <w:i/>
        </w:rPr>
        <w:t>to</w:t>
      </w:r>
      <w:r>
        <w:rPr>
          <w:b/>
          <w:i/>
          <w:spacing w:val="9"/>
        </w:rPr>
        <w:t xml:space="preserve"> </w:t>
      </w:r>
      <w:r>
        <w:rPr>
          <w:b/>
          <w:i/>
        </w:rPr>
        <w:t>fight</w:t>
      </w:r>
      <w:r>
        <w:rPr>
          <w:b/>
          <w:i/>
          <w:spacing w:val="6"/>
        </w:rPr>
        <w:t xml:space="preserve"> </w:t>
      </w:r>
      <w:r>
        <w:rPr>
          <w:b/>
          <w:i/>
        </w:rPr>
        <w:t>against</w:t>
      </w:r>
      <w:r>
        <w:rPr>
          <w:b/>
          <w:i/>
          <w:spacing w:val="8"/>
        </w:rPr>
        <w:t xml:space="preserve"> </w:t>
      </w:r>
      <w:r>
        <w:rPr>
          <w:b/>
          <w:i/>
        </w:rPr>
        <w:t>corruption</w:t>
      </w:r>
      <w:r>
        <w:rPr>
          <w:b/>
          <w:i/>
          <w:spacing w:val="9"/>
        </w:rPr>
        <w:t xml:space="preserve"> </w:t>
      </w:r>
      <w:r>
        <w:rPr>
          <w:b/>
          <w:i/>
        </w:rPr>
        <w:t>(prevention</w:t>
      </w:r>
      <w:r>
        <w:rPr>
          <w:b/>
          <w:i/>
          <w:spacing w:val="6"/>
        </w:rPr>
        <w:t xml:space="preserve"> </w:t>
      </w:r>
      <w:r>
        <w:rPr>
          <w:b/>
          <w:i/>
        </w:rPr>
        <w:t>and</w:t>
      </w:r>
      <w:r>
        <w:rPr>
          <w:b/>
          <w:i/>
          <w:spacing w:val="6"/>
        </w:rPr>
        <w:t xml:space="preserve"> </w:t>
      </w:r>
      <w:r>
        <w:rPr>
          <w:b/>
          <w:i/>
        </w:rPr>
        <w:t>investigation</w:t>
      </w:r>
    </w:p>
    <w:p w14:paraId="65D67D96" w14:textId="77777777" w:rsidR="0007496B" w:rsidRDefault="0007496B" w:rsidP="0007496B">
      <w:pPr>
        <w:spacing w:before="20"/>
        <w:ind w:left="544"/>
        <w:rPr>
          <w:b/>
          <w:i/>
        </w:rPr>
      </w:pPr>
      <w:r>
        <w:rPr>
          <w:b/>
          <w:i/>
        </w:rPr>
        <w:t>/ prosecution)</w:t>
      </w:r>
    </w:p>
    <w:p w14:paraId="709CC14D" w14:textId="77777777" w:rsidR="0007496B" w:rsidRDefault="0007496B" w:rsidP="0007496B">
      <w:pPr>
        <w:pStyle w:val="ListParagraph"/>
        <w:widowControl w:val="0"/>
        <w:numPr>
          <w:ilvl w:val="0"/>
          <w:numId w:val="4"/>
        </w:numPr>
        <w:tabs>
          <w:tab w:val="left" w:pos="1217"/>
        </w:tabs>
        <w:autoSpaceDE w:val="0"/>
        <w:autoSpaceDN w:val="0"/>
        <w:spacing w:before="137" w:after="0" w:line="252" w:lineRule="auto"/>
        <w:ind w:right="125"/>
        <w:contextualSpacing w:val="0"/>
        <w:rPr>
          <w:i/>
        </w:rPr>
      </w:pPr>
      <w:r>
        <w:rPr>
          <w:i/>
        </w:rPr>
        <w:t>List of relevant authorities (e.g. national agencies, bodies) in charge of prevention detection, investigation and prosecution of corruption. Please indicate the resources allocated to these (the human, financial, legal, and practical resources as relevant), e.g. in</w:t>
      </w:r>
      <w:bookmarkStart w:id="7" w:name="B._Prevention"/>
      <w:bookmarkEnd w:id="7"/>
      <w:r>
        <w:rPr>
          <w:i/>
        </w:rPr>
        <w:t xml:space="preserve"> table</w:t>
      </w:r>
      <w:r>
        <w:rPr>
          <w:i/>
          <w:spacing w:val="-1"/>
        </w:rPr>
        <w:t xml:space="preserve"> </w:t>
      </w:r>
      <w:r>
        <w:rPr>
          <w:i/>
        </w:rPr>
        <w:t>format.</w:t>
      </w:r>
    </w:p>
    <w:p w14:paraId="48B090B2" w14:textId="77777777" w:rsidR="0007496B" w:rsidRDefault="0007496B" w:rsidP="0007496B">
      <w:pPr>
        <w:pStyle w:val="Heading2"/>
        <w:numPr>
          <w:ilvl w:val="0"/>
          <w:numId w:val="3"/>
        </w:numPr>
        <w:tabs>
          <w:tab w:val="left" w:pos="544"/>
          <w:tab w:val="left" w:pos="545"/>
        </w:tabs>
        <w:spacing w:before="111"/>
      </w:pPr>
      <w:r>
        <w:t>Prevention</w:t>
      </w:r>
    </w:p>
    <w:p w14:paraId="38ABE1E5" w14:textId="77777777" w:rsidR="0007496B" w:rsidRDefault="0007496B" w:rsidP="0007496B">
      <w:pPr>
        <w:pStyle w:val="ListParagraph"/>
        <w:widowControl w:val="0"/>
        <w:numPr>
          <w:ilvl w:val="0"/>
          <w:numId w:val="4"/>
        </w:numPr>
        <w:tabs>
          <w:tab w:val="left" w:pos="1267"/>
        </w:tabs>
        <w:autoSpaceDE w:val="0"/>
        <w:autoSpaceDN w:val="0"/>
        <w:spacing w:before="113" w:after="0" w:line="240" w:lineRule="auto"/>
        <w:ind w:left="1266" w:hanging="411"/>
        <w:contextualSpacing w:val="0"/>
        <w:rPr>
          <w:i/>
        </w:rPr>
      </w:pPr>
      <w:r>
        <w:rPr>
          <w:i/>
        </w:rPr>
        <w:t>Integrity framework including incompatibility rules (e.g.: revolving</w:t>
      </w:r>
      <w:r>
        <w:rPr>
          <w:i/>
          <w:spacing w:val="-9"/>
        </w:rPr>
        <w:t xml:space="preserve"> </w:t>
      </w:r>
      <w:r>
        <w:rPr>
          <w:i/>
        </w:rPr>
        <w:t>doors)</w:t>
      </w:r>
    </w:p>
    <w:p w14:paraId="3505D0E1" w14:textId="77777777" w:rsidR="0007496B" w:rsidRDefault="0007496B" w:rsidP="0007496B">
      <w:pPr>
        <w:pStyle w:val="ListParagraph"/>
        <w:widowControl w:val="0"/>
        <w:numPr>
          <w:ilvl w:val="0"/>
          <w:numId w:val="4"/>
        </w:numPr>
        <w:tabs>
          <w:tab w:val="left" w:pos="1217"/>
        </w:tabs>
        <w:autoSpaceDE w:val="0"/>
        <w:autoSpaceDN w:val="0"/>
        <w:spacing w:before="120" w:after="0" w:line="240" w:lineRule="auto"/>
        <w:ind w:right="411" w:hanging="360"/>
        <w:contextualSpacing w:val="0"/>
        <w:rPr>
          <w:i/>
        </w:rPr>
      </w:pPr>
      <w:r>
        <w:rPr>
          <w:i/>
        </w:rPr>
        <w:t>General transparency of public decision-making (including public access to information such as lobbying, asset disclosure rules and transparency of political party</w:t>
      </w:r>
      <w:r>
        <w:rPr>
          <w:i/>
          <w:spacing w:val="-26"/>
        </w:rPr>
        <w:t xml:space="preserve"> </w:t>
      </w:r>
      <w:r>
        <w:rPr>
          <w:i/>
        </w:rPr>
        <w:t>financing)</w:t>
      </w:r>
    </w:p>
    <w:p w14:paraId="3B2B148A" w14:textId="77777777" w:rsidR="0007496B" w:rsidRDefault="0007496B" w:rsidP="0007496B">
      <w:pPr>
        <w:pStyle w:val="ListParagraph"/>
        <w:widowControl w:val="0"/>
        <w:numPr>
          <w:ilvl w:val="0"/>
          <w:numId w:val="4"/>
        </w:numPr>
        <w:tabs>
          <w:tab w:val="left" w:pos="1217"/>
        </w:tabs>
        <w:autoSpaceDE w:val="0"/>
        <w:autoSpaceDN w:val="0"/>
        <w:spacing w:before="120" w:after="0" w:line="240" w:lineRule="auto"/>
        <w:contextualSpacing w:val="0"/>
        <w:rPr>
          <w:i/>
        </w:rPr>
      </w:pPr>
      <w:r>
        <w:rPr>
          <w:i/>
        </w:rPr>
        <w:t>Rules on preventing conflict of interests in the public</w:t>
      </w:r>
      <w:r>
        <w:rPr>
          <w:i/>
          <w:spacing w:val="-6"/>
        </w:rPr>
        <w:t xml:space="preserve"> </w:t>
      </w:r>
      <w:r>
        <w:rPr>
          <w:i/>
        </w:rPr>
        <w:t>sector</w:t>
      </w:r>
    </w:p>
    <w:p w14:paraId="7EBFD2F0" w14:textId="77777777" w:rsidR="0007496B" w:rsidRDefault="0007496B" w:rsidP="0007496B">
      <w:pPr>
        <w:pStyle w:val="ListParagraph"/>
        <w:widowControl w:val="0"/>
        <w:numPr>
          <w:ilvl w:val="0"/>
          <w:numId w:val="4"/>
        </w:numPr>
        <w:tabs>
          <w:tab w:val="left" w:pos="1217"/>
        </w:tabs>
        <w:autoSpaceDE w:val="0"/>
        <w:autoSpaceDN w:val="0"/>
        <w:spacing w:before="121" w:after="0" w:line="240" w:lineRule="auto"/>
        <w:ind w:right="863" w:hanging="356"/>
        <w:contextualSpacing w:val="0"/>
        <w:rPr>
          <w:i/>
        </w:rPr>
      </w:pPr>
      <w:r>
        <w:rPr>
          <w:i/>
        </w:rPr>
        <w:t>Measures in place to ensure whistleblower protection and encourage reporting of corruption</w:t>
      </w:r>
    </w:p>
    <w:p w14:paraId="200C351B" w14:textId="77777777" w:rsidR="0007496B" w:rsidRDefault="0007496B" w:rsidP="0007496B">
      <w:pPr>
        <w:pStyle w:val="ListParagraph"/>
        <w:widowControl w:val="0"/>
        <w:numPr>
          <w:ilvl w:val="0"/>
          <w:numId w:val="4"/>
        </w:numPr>
        <w:tabs>
          <w:tab w:val="left" w:pos="1217"/>
        </w:tabs>
        <w:autoSpaceDE w:val="0"/>
        <w:autoSpaceDN w:val="0"/>
        <w:spacing w:before="120" w:after="0" w:line="240" w:lineRule="auto"/>
        <w:ind w:right="426" w:hanging="356"/>
        <w:contextualSpacing w:val="0"/>
        <w:rPr>
          <w:i/>
        </w:rPr>
      </w:pPr>
      <w:r>
        <w:rPr>
          <w:i/>
        </w:rPr>
        <w:t>List the sectors with high-risks of corruption in your Member State and list the relevant measures taken/envisaged for preventing corruption and conflict of interest in these sectors. (e.g. public procurement, healthcare,</w:t>
      </w:r>
      <w:r>
        <w:rPr>
          <w:i/>
          <w:spacing w:val="-3"/>
        </w:rPr>
        <w:t xml:space="preserve"> </w:t>
      </w:r>
      <w:r>
        <w:rPr>
          <w:i/>
        </w:rPr>
        <w:t>other).</w:t>
      </w:r>
    </w:p>
    <w:p w14:paraId="0F5E004A" w14:textId="77777777" w:rsidR="0007496B" w:rsidRDefault="0007496B" w:rsidP="0007496B">
      <w:pPr>
        <w:pStyle w:val="ListParagraph"/>
        <w:widowControl w:val="0"/>
        <w:numPr>
          <w:ilvl w:val="0"/>
          <w:numId w:val="4"/>
        </w:numPr>
        <w:tabs>
          <w:tab w:val="left" w:pos="1217"/>
        </w:tabs>
        <w:autoSpaceDE w:val="0"/>
        <w:autoSpaceDN w:val="0"/>
        <w:spacing w:before="118" w:after="0" w:line="240" w:lineRule="auto"/>
        <w:contextualSpacing w:val="0"/>
        <w:rPr>
          <w:i/>
        </w:rPr>
      </w:pPr>
      <w:r>
        <w:rPr>
          <w:i/>
        </w:rPr>
        <w:t>Measures taken to address corruption risks in the context of the COVID-19</w:t>
      </w:r>
      <w:r>
        <w:rPr>
          <w:i/>
          <w:spacing w:val="-22"/>
        </w:rPr>
        <w:t xml:space="preserve"> </w:t>
      </w:r>
      <w:r>
        <w:rPr>
          <w:i/>
        </w:rPr>
        <w:t>pandemic.</w:t>
      </w:r>
    </w:p>
    <w:p w14:paraId="243DC232" w14:textId="77777777" w:rsidR="0007496B" w:rsidRDefault="0007496B" w:rsidP="0007496B">
      <w:pPr>
        <w:pStyle w:val="ListParagraph"/>
        <w:widowControl w:val="0"/>
        <w:numPr>
          <w:ilvl w:val="0"/>
          <w:numId w:val="4"/>
        </w:numPr>
        <w:tabs>
          <w:tab w:val="left" w:pos="1217"/>
        </w:tabs>
        <w:autoSpaceDE w:val="0"/>
        <w:autoSpaceDN w:val="0"/>
        <w:spacing w:before="121" w:after="0" w:line="240" w:lineRule="auto"/>
        <w:ind w:hanging="356"/>
        <w:contextualSpacing w:val="0"/>
        <w:rPr>
          <w:i/>
        </w:rPr>
      </w:pPr>
      <w:bookmarkStart w:id="8" w:name="C._Repressive_measures"/>
      <w:bookmarkEnd w:id="8"/>
      <w:r>
        <w:rPr>
          <w:i/>
        </w:rPr>
        <w:t>Any other relevant measures to prevent corruption in public and private</w:t>
      </w:r>
      <w:r>
        <w:rPr>
          <w:i/>
          <w:spacing w:val="-14"/>
        </w:rPr>
        <w:t xml:space="preserve"> </w:t>
      </w:r>
      <w:r>
        <w:rPr>
          <w:i/>
        </w:rPr>
        <w:t>sector</w:t>
      </w:r>
    </w:p>
    <w:p w14:paraId="704FAB30" w14:textId="77777777" w:rsidR="0007496B" w:rsidRDefault="0007496B" w:rsidP="0007496B">
      <w:pPr>
        <w:pStyle w:val="Heading2"/>
        <w:numPr>
          <w:ilvl w:val="0"/>
          <w:numId w:val="3"/>
        </w:numPr>
        <w:tabs>
          <w:tab w:val="left" w:pos="543"/>
          <w:tab w:val="left" w:pos="545"/>
        </w:tabs>
        <w:ind w:hanging="429"/>
      </w:pPr>
      <w:r>
        <w:t>Repressive</w:t>
      </w:r>
      <w:r>
        <w:rPr>
          <w:spacing w:val="-1"/>
        </w:rPr>
        <w:t xml:space="preserve"> </w:t>
      </w:r>
      <w:r>
        <w:t>measures</w:t>
      </w:r>
    </w:p>
    <w:p w14:paraId="3B674507" w14:textId="77777777" w:rsidR="0007496B" w:rsidRDefault="0007496B" w:rsidP="0007496B">
      <w:pPr>
        <w:pStyle w:val="ListParagraph"/>
        <w:widowControl w:val="0"/>
        <w:numPr>
          <w:ilvl w:val="0"/>
          <w:numId w:val="4"/>
        </w:numPr>
        <w:tabs>
          <w:tab w:val="left" w:pos="1217"/>
        </w:tabs>
        <w:autoSpaceDE w:val="0"/>
        <w:autoSpaceDN w:val="0"/>
        <w:spacing w:before="120" w:after="0" w:line="240" w:lineRule="auto"/>
        <w:contextualSpacing w:val="0"/>
        <w:rPr>
          <w:i/>
        </w:rPr>
      </w:pPr>
      <w:proofErr w:type="spellStart"/>
      <w:r>
        <w:rPr>
          <w:i/>
        </w:rPr>
        <w:t>Criminalisation</w:t>
      </w:r>
      <w:proofErr w:type="spellEnd"/>
      <w:r>
        <w:rPr>
          <w:i/>
        </w:rPr>
        <w:t xml:space="preserve"> of corruption and related</w:t>
      </w:r>
      <w:r>
        <w:rPr>
          <w:i/>
          <w:spacing w:val="-6"/>
        </w:rPr>
        <w:t xml:space="preserve"> </w:t>
      </w:r>
      <w:r>
        <w:rPr>
          <w:i/>
        </w:rPr>
        <w:t>offences</w:t>
      </w:r>
    </w:p>
    <w:p w14:paraId="03CFE94D" w14:textId="77777777" w:rsidR="0007496B" w:rsidRDefault="0007496B" w:rsidP="0007496B">
      <w:pPr>
        <w:pStyle w:val="ListParagraph"/>
        <w:widowControl w:val="0"/>
        <w:numPr>
          <w:ilvl w:val="0"/>
          <w:numId w:val="4"/>
        </w:numPr>
        <w:tabs>
          <w:tab w:val="left" w:pos="1217"/>
        </w:tabs>
        <w:autoSpaceDE w:val="0"/>
        <w:autoSpaceDN w:val="0"/>
        <w:spacing w:before="120" w:after="0" w:line="240" w:lineRule="auto"/>
        <w:ind w:right="341"/>
        <w:contextualSpacing w:val="0"/>
        <w:rPr>
          <w:i/>
        </w:rPr>
      </w:pPr>
      <w:r>
        <w:rPr>
          <w:i/>
        </w:rPr>
        <w:t>Data on investigation and application of sanctions for corruption offences (including for legal persons and high level and complex corruption cases) and their transparency, including as regards to the implementation of EU</w:t>
      </w:r>
      <w:r>
        <w:rPr>
          <w:i/>
          <w:spacing w:val="-12"/>
        </w:rPr>
        <w:t xml:space="preserve"> </w:t>
      </w:r>
      <w:r>
        <w:rPr>
          <w:i/>
        </w:rPr>
        <w:t>funds.</w:t>
      </w:r>
    </w:p>
    <w:p w14:paraId="5A35D496" w14:textId="77777777" w:rsidR="0007496B" w:rsidRDefault="0007496B" w:rsidP="0007496B">
      <w:pPr>
        <w:pStyle w:val="ListParagraph"/>
        <w:widowControl w:val="0"/>
        <w:numPr>
          <w:ilvl w:val="0"/>
          <w:numId w:val="4"/>
        </w:numPr>
        <w:tabs>
          <w:tab w:val="left" w:pos="1217"/>
        </w:tabs>
        <w:autoSpaceDE w:val="0"/>
        <w:autoSpaceDN w:val="0"/>
        <w:spacing w:before="123" w:after="0" w:line="237" w:lineRule="auto"/>
        <w:ind w:right="197"/>
        <w:contextualSpacing w:val="0"/>
        <w:rPr>
          <w:i/>
        </w:rPr>
      </w:pPr>
      <w:r>
        <w:rPr>
          <w:i/>
        </w:rPr>
        <w:t>Potential obstacles to investigation and prosecution of high-level and complex corruption cases (e.g. political immunity regulation)</w:t>
      </w:r>
    </w:p>
    <w:p w14:paraId="5E295F5F" w14:textId="77777777" w:rsidR="0007496B" w:rsidRDefault="0007496B" w:rsidP="0007496B">
      <w:pPr>
        <w:pStyle w:val="Heading2"/>
        <w:spacing w:before="122"/>
        <w:ind w:left="117" w:firstLine="0"/>
      </w:pPr>
      <w:r>
        <w:t>Other – please specify</w:t>
      </w:r>
    </w:p>
    <w:p w14:paraId="743CBA64" w14:textId="77777777" w:rsidR="0007496B" w:rsidRDefault="0007496B" w:rsidP="0007496B">
      <w:pPr>
        <w:pStyle w:val="BodyText"/>
        <w:spacing w:before="10"/>
        <w:ind w:left="0" w:firstLine="0"/>
        <w:rPr>
          <w:b/>
          <w:sz w:val="31"/>
        </w:rPr>
      </w:pPr>
    </w:p>
    <w:p w14:paraId="58C78A55" w14:textId="77777777" w:rsidR="0007496B" w:rsidRDefault="0007496B" w:rsidP="0007496B">
      <w:pPr>
        <w:pStyle w:val="ListParagraph"/>
        <w:widowControl w:val="0"/>
        <w:numPr>
          <w:ilvl w:val="0"/>
          <w:numId w:val="6"/>
        </w:numPr>
        <w:shd w:val="clear" w:color="auto" w:fill="E7E6E6" w:themeFill="background2"/>
        <w:tabs>
          <w:tab w:val="left" w:pos="523"/>
        </w:tabs>
        <w:autoSpaceDE w:val="0"/>
        <w:autoSpaceDN w:val="0"/>
        <w:spacing w:after="0" w:line="240" w:lineRule="auto"/>
        <w:ind w:left="522" w:hanging="406"/>
        <w:contextualSpacing w:val="0"/>
        <w:rPr>
          <w:b/>
        </w:rPr>
      </w:pPr>
      <w:bookmarkStart w:id="9" w:name="III._Media_pluralism"/>
      <w:bookmarkEnd w:id="9"/>
      <w:r>
        <w:rPr>
          <w:b/>
        </w:rPr>
        <w:t>Media</w:t>
      </w:r>
      <w:r>
        <w:rPr>
          <w:b/>
          <w:spacing w:val="-2"/>
        </w:rPr>
        <w:t xml:space="preserve"> </w:t>
      </w:r>
      <w:r>
        <w:rPr>
          <w:b/>
        </w:rPr>
        <w:t>pluralism</w:t>
      </w:r>
    </w:p>
    <w:p w14:paraId="7A12D064" w14:textId="77777777" w:rsidR="0007496B" w:rsidRDefault="0007496B" w:rsidP="0007496B">
      <w:pPr>
        <w:pStyle w:val="ListParagraph"/>
        <w:widowControl w:val="0"/>
        <w:numPr>
          <w:ilvl w:val="0"/>
          <w:numId w:val="2"/>
        </w:numPr>
        <w:tabs>
          <w:tab w:val="left" w:pos="544"/>
          <w:tab w:val="left" w:pos="545"/>
        </w:tabs>
        <w:autoSpaceDE w:val="0"/>
        <w:autoSpaceDN w:val="0"/>
        <w:spacing w:before="120" w:after="0" w:line="240" w:lineRule="auto"/>
        <w:contextualSpacing w:val="0"/>
        <w:rPr>
          <w:b/>
          <w:i/>
        </w:rPr>
      </w:pPr>
      <w:bookmarkStart w:id="10" w:name="A._Media__authorities_and_bodies5F"/>
      <w:bookmarkEnd w:id="10"/>
      <w:r>
        <w:rPr>
          <w:b/>
          <w:i/>
        </w:rPr>
        <w:t>Media authorities and</w:t>
      </w:r>
      <w:r>
        <w:rPr>
          <w:b/>
          <w:i/>
          <w:spacing w:val="-5"/>
        </w:rPr>
        <w:t xml:space="preserve"> </w:t>
      </w:r>
      <w:r>
        <w:rPr>
          <w:b/>
          <w:i/>
        </w:rPr>
        <w:t>bodies</w:t>
      </w:r>
      <w:r>
        <w:rPr>
          <w:rStyle w:val="FootnoteReference"/>
          <w:i/>
        </w:rPr>
        <w:footnoteReference w:id="6"/>
      </w:r>
    </w:p>
    <w:p w14:paraId="3ED193A6" w14:textId="77777777" w:rsidR="0007496B" w:rsidRDefault="0007496B" w:rsidP="0007496B">
      <w:pPr>
        <w:pStyle w:val="ListParagraph"/>
        <w:widowControl w:val="0"/>
        <w:numPr>
          <w:ilvl w:val="0"/>
          <w:numId w:val="4"/>
        </w:numPr>
        <w:tabs>
          <w:tab w:val="left" w:pos="1217"/>
        </w:tabs>
        <w:autoSpaceDE w:val="0"/>
        <w:autoSpaceDN w:val="0"/>
        <w:spacing w:before="121" w:after="0" w:line="240" w:lineRule="auto"/>
        <w:ind w:left="1215" w:right="109" w:hanging="360"/>
        <w:contextualSpacing w:val="0"/>
        <w:rPr>
          <w:i/>
        </w:rPr>
      </w:pPr>
      <w:r>
        <w:rPr>
          <w:i/>
        </w:rPr>
        <w:t>Independence, enforcement powers and adequacy of resources of media regulatory authorities and</w:t>
      </w:r>
      <w:r>
        <w:rPr>
          <w:i/>
          <w:spacing w:val="-2"/>
        </w:rPr>
        <w:t xml:space="preserve"> </w:t>
      </w:r>
      <w:r>
        <w:rPr>
          <w:i/>
        </w:rPr>
        <w:t>bodies</w:t>
      </w:r>
    </w:p>
    <w:p w14:paraId="091A22F2" w14:textId="77777777" w:rsidR="0007496B" w:rsidRDefault="0007496B" w:rsidP="0007496B">
      <w:pPr>
        <w:pStyle w:val="ListParagraph"/>
        <w:widowControl w:val="0"/>
        <w:numPr>
          <w:ilvl w:val="0"/>
          <w:numId w:val="4"/>
        </w:numPr>
        <w:tabs>
          <w:tab w:val="left" w:pos="1216"/>
        </w:tabs>
        <w:autoSpaceDE w:val="0"/>
        <w:autoSpaceDN w:val="0"/>
        <w:spacing w:before="120" w:after="0" w:line="240" w:lineRule="auto"/>
        <w:ind w:left="1215" w:right="107"/>
        <w:contextualSpacing w:val="0"/>
        <w:rPr>
          <w:i/>
        </w:rPr>
      </w:pPr>
      <w:r>
        <w:rPr>
          <w:i/>
        </w:rPr>
        <w:t>Conditions and procedures for the appointment and dismissal of the head / members of the collegiate body of media regulatory authorities and</w:t>
      </w:r>
      <w:r>
        <w:rPr>
          <w:i/>
          <w:spacing w:val="-11"/>
        </w:rPr>
        <w:t xml:space="preserve"> </w:t>
      </w:r>
      <w:r>
        <w:rPr>
          <w:i/>
        </w:rPr>
        <w:t>bodies</w:t>
      </w:r>
    </w:p>
    <w:p w14:paraId="4ABB5702" w14:textId="77777777" w:rsidR="0007496B" w:rsidRDefault="0007496B" w:rsidP="0007496B">
      <w:pPr>
        <w:pStyle w:val="ListParagraph"/>
        <w:widowControl w:val="0"/>
        <w:numPr>
          <w:ilvl w:val="0"/>
          <w:numId w:val="4"/>
        </w:numPr>
        <w:tabs>
          <w:tab w:val="left" w:pos="1216"/>
        </w:tabs>
        <w:autoSpaceDE w:val="0"/>
        <w:autoSpaceDN w:val="0"/>
        <w:spacing w:before="120" w:after="0" w:line="240" w:lineRule="auto"/>
        <w:ind w:left="1215"/>
        <w:contextualSpacing w:val="0"/>
        <w:rPr>
          <w:i/>
        </w:rPr>
      </w:pPr>
      <w:r>
        <w:rPr>
          <w:i/>
        </w:rPr>
        <w:t>Existence and functions of media councils or other self-regulatory</w:t>
      </w:r>
      <w:r>
        <w:rPr>
          <w:i/>
          <w:spacing w:val="-9"/>
        </w:rPr>
        <w:t xml:space="preserve"> </w:t>
      </w:r>
      <w:r>
        <w:rPr>
          <w:i/>
        </w:rPr>
        <w:t>bodies</w:t>
      </w:r>
    </w:p>
    <w:p w14:paraId="1005D14E" w14:textId="77777777" w:rsidR="0007496B" w:rsidRDefault="0007496B" w:rsidP="0007496B">
      <w:pPr>
        <w:pStyle w:val="BodyText"/>
        <w:spacing w:before="0"/>
        <w:ind w:left="0" w:firstLine="0"/>
        <w:rPr>
          <w:sz w:val="20"/>
        </w:rPr>
      </w:pPr>
    </w:p>
    <w:p w14:paraId="4A3B4E30" w14:textId="77777777" w:rsidR="0007496B" w:rsidRDefault="0007496B" w:rsidP="0007496B">
      <w:pPr>
        <w:pStyle w:val="Heading2"/>
        <w:numPr>
          <w:ilvl w:val="0"/>
          <w:numId w:val="2"/>
        </w:numPr>
        <w:tabs>
          <w:tab w:val="left" w:pos="543"/>
          <w:tab w:val="left" w:pos="545"/>
        </w:tabs>
        <w:spacing w:before="33"/>
        <w:ind w:hanging="429"/>
      </w:pPr>
      <w:bookmarkStart w:id="11" w:name="B._Transparency_of_media_ownership_and_g"/>
      <w:bookmarkEnd w:id="11"/>
      <w:r>
        <w:t>Transparency of media ownership and government</w:t>
      </w:r>
      <w:r>
        <w:rPr>
          <w:spacing w:val="-12"/>
        </w:rPr>
        <w:t xml:space="preserve"> </w:t>
      </w:r>
      <w:r>
        <w:t>interference</w:t>
      </w:r>
    </w:p>
    <w:p w14:paraId="603371C2" w14:textId="77777777" w:rsidR="0007496B" w:rsidRDefault="0007496B" w:rsidP="0007496B">
      <w:pPr>
        <w:pStyle w:val="ListParagraph"/>
        <w:widowControl w:val="0"/>
        <w:numPr>
          <w:ilvl w:val="0"/>
          <w:numId w:val="4"/>
        </w:numPr>
        <w:tabs>
          <w:tab w:val="left" w:pos="1217"/>
        </w:tabs>
        <w:autoSpaceDE w:val="0"/>
        <w:autoSpaceDN w:val="0"/>
        <w:spacing w:before="120" w:after="0" w:line="240" w:lineRule="auto"/>
        <w:ind w:right="110"/>
        <w:contextualSpacing w:val="0"/>
        <w:rPr>
          <w:i/>
        </w:rPr>
      </w:pPr>
      <w:r>
        <w:rPr>
          <w:i/>
        </w:rPr>
        <w:t xml:space="preserve">The transparent allocation of state advertising (including any rules regulating </w:t>
      </w:r>
      <w:proofErr w:type="gramStart"/>
      <w:r>
        <w:rPr>
          <w:i/>
        </w:rPr>
        <w:t>the  matter</w:t>
      </w:r>
      <w:proofErr w:type="gramEnd"/>
      <w:r>
        <w:rPr>
          <w:i/>
        </w:rPr>
        <w:t>); other safeguards against state / political</w:t>
      </w:r>
      <w:r>
        <w:rPr>
          <w:i/>
          <w:spacing w:val="-5"/>
        </w:rPr>
        <w:t xml:space="preserve"> </w:t>
      </w:r>
      <w:r>
        <w:rPr>
          <w:i/>
        </w:rPr>
        <w:t>interference</w:t>
      </w:r>
    </w:p>
    <w:p w14:paraId="30A01604" w14:textId="77777777" w:rsidR="0007496B" w:rsidRDefault="0007496B" w:rsidP="0007496B">
      <w:pPr>
        <w:pStyle w:val="ListParagraph"/>
        <w:widowControl w:val="0"/>
        <w:numPr>
          <w:ilvl w:val="0"/>
          <w:numId w:val="4"/>
        </w:numPr>
        <w:tabs>
          <w:tab w:val="left" w:pos="1217"/>
        </w:tabs>
        <w:autoSpaceDE w:val="0"/>
        <w:autoSpaceDN w:val="0"/>
        <w:spacing w:before="120" w:after="0" w:line="240" w:lineRule="auto"/>
        <w:ind w:left="1215" w:right="109" w:hanging="360"/>
        <w:contextualSpacing w:val="0"/>
        <w:rPr>
          <w:i/>
        </w:rPr>
      </w:pPr>
      <w:r>
        <w:rPr>
          <w:i/>
        </w:rPr>
        <w:t>Rules governing transparency of media ownership and public availability of media ownership</w:t>
      </w:r>
      <w:r>
        <w:rPr>
          <w:i/>
          <w:spacing w:val="-2"/>
        </w:rPr>
        <w:t xml:space="preserve"> </w:t>
      </w:r>
      <w:r>
        <w:rPr>
          <w:i/>
        </w:rPr>
        <w:t>information</w:t>
      </w:r>
    </w:p>
    <w:p w14:paraId="08795892" w14:textId="77777777" w:rsidR="0007496B" w:rsidRDefault="0007496B" w:rsidP="0007496B">
      <w:pPr>
        <w:pStyle w:val="Heading2"/>
        <w:numPr>
          <w:ilvl w:val="0"/>
          <w:numId w:val="2"/>
        </w:numPr>
        <w:tabs>
          <w:tab w:val="left" w:pos="543"/>
          <w:tab w:val="left" w:pos="545"/>
        </w:tabs>
        <w:spacing w:before="121"/>
        <w:ind w:hanging="429"/>
      </w:pPr>
      <w:bookmarkStart w:id="12" w:name="C._Framework_for_journalists'_protection"/>
      <w:bookmarkEnd w:id="12"/>
      <w:r>
        <w:t>Framework for journalists'</w:t>
      </w:r>
      <w:r>
        <w:rPr>
          <w:spacing w:val="-3"/>
        </w:rPr>
        <w:t xml:space="preserve"> </w:t>
      </w:r>
      <w:r>
        <w:t>protection</w:t>
      </w:r>
    </w:p>
    <w:p w14:paraId="32478699" w14:textId="77777777" w:rsidR="0007496B" w:rsidRDefault="0007496B" w:rsidP="0007496B">
      <w:pPr>
        <w:pStyle w:val="ListParagraph"/>
        <w:widowControl w:val="0"/>
        <w:numPr>
          <w:ilvl w:val="0"/>
          <w:numId w:val="4"/>
        </w:numPr>
        <w:tabs>
          <w:tab w:val="left" w:pos="1217"/>
        </w:tabs>
        <w:autoSpaceDE w:val="0"/>
        <w:autoSpaceDN w:val="0"/>
        <w:spacing w:before="120" w:after="0" w:line="240" w:lineRule="auto"/>
        <w:contextualSpacing w:val="0"/>
        <w:rPr>
          <w:i/>
        </w:rPr>
      </w:pPr>
      <w:r>
        <w:rPr>
          <w:i/>
        </w:rPr>
        <w:t>Rules and practices guaranteeing journalist's independence and</w:t>
      </w:r>
      <w:r>
        <w:rPr>
          <w:i/>
          <w:spacing w:val="-4"/>
        </w:rPr>
        <w:t xml:space="preserve"> </w:t>
      </w:r>
      <w:r>
        <w:rPr>
          <w:i/>
        </w:rPr>
        <w:t>safety</w:t>
      </w:r>
    </w:p>
    <w:p w14:paraId="7D035FD7" w14:textId="77777777" w:rsidR="0007496B" w:rsidRDefault="0007496B" w:rsidP="0007496B">
      <w:pPr>
        <w:pStyle w:val="ListParagraph"/>
        <w:widowControl w:val="0"/>
        <w:numPr>
          <w:ilvl w:val="0"/>
          <w:numId w:val="4"/>
        </w:numPr>
        <w:tabs>
          <w:tab w:val="left" w:pos="1217"/>
        </w:tabs>
        <w:autoSpaceDE w:val="0"/>
        <w:autoSpaceDN w:val="0"/>
        <w:spacing w:before="118" w:after="0" w:line="240" w:lineRule="auto"/>
        <w:ind w:right="108"/>
        <w:contextualSpacing w:val="0"/>
        <w:rPr>
          <w:i/>
        </w:rPr>
      </w:pPr>
      <w:r>
        <w:rPr>
          <w:i/>
        </w:rPr>
        <w:t>Law enforcement capacity to ensure journalists' safety and to investigate attacks on journalists</w:t>
      </w:r>
    </w:p>
    <w:p w14:paraId="0580A728" w14:textId="77777777" w:rsidR="0007496B" w:rsidRDefault="0007496B" w:rsidP="0007496B">
      <w:pPr>
        <w:pStyle w:val="ListParagraph"/>
        <w:widowControl w:val="0"/>
        <w:numPr>
          <w:ilvl w:val="0"/>
          <w:numId w:val="4"/>
        </w:numPr>
        <w:tabs>
          <w:tab w:val="left" w:pos="1217"/>
        </w:tabs>
        <w:autoSpaceDE w:val="0"/>
        <w:autoSpaceDN w:val="0"/>
        <w:spacing w:before="120" w:after="0" w:line="240" w:lineRule="auto"/>
        <w:contextualSpacing w:val="0"/>
        <w:rPr>
          <w:i/>
        </w:rPr>
      </w:pPr>
      <w:r>
        <w:rPr>
          <w:i/>
        </w:rPr>
        <w:t>Access to information and public</w:t>
      </w:r>
      <w:r>
        <w:rPr>
          <w:i/>
          <w:spacing w:val="-5"/>
        </w:rPr>
        <w:t xml:space="preserve"> </w:t>
      </w:r>
      <w:r>
        <w:rPr>
          <w:i/>
        </w:rPr>
        <w:t>documents</w:t>
      </w:r>
    </w:p>
    <w:p w14:paraId="33995A50" w14:textId="77777777" w:rsidR="0007496B" w:rsidRDefault="0007496B" w:rsidP="0007496B">
      <w:pPr>
        <w:pStyle w:val="ListParagraph"/>
        <w:widowControl w:val="0"/>
        <w:numPr>
          <w:ilvl w:val="0"/>
          <w:numId w:val="4"/>
        </w:numPr>
        <w:tabs>
          <w:tab w:val="left" w:pos="1217"/>
        </w:tabs>
        <w:autoSpaceDE w:val="0"/>
        <w:autoSpaceDN w:val="0"/>
        <w:spacing w:before="121" w:after="0" w:line="240" w:lineRule="auto"/>
        <w:ind w:right="110"/>
        <w:contextualSpacing w:val="0"/>
        <w:rPr>
          <w:i/>
        </w:rPr>
      </w:pPr>
      <w:r>
        <w:rPr>
          <w:i/>
        </w:rPr>
        <w:t>Lawsuits and convictions against journalists (incl. defamation cases) and safeguards against abuse</w:t>
      </w:r>
    </w:p>
    <w:p w14:paraId="1D2A6C0E" w14:textId="77777777" w:rsidR="0007496B" w:rsidRDefault="0007496B" w:rsidP="0007496B">
      <w:pPr>
        <w:pStyle w:val="Heading2"/>
        <w:ind w:left="117" w:firstLine="0"/>
      </w:pPr>
      <w:r>
        <w:t>Other – please specify</w:t>
      </w:r>
    </w:p>
    <w:p w14:paraId="7F802960" w14:textId="77777777" w:rsidR="0007496B" w:rsidRDefault="0007496B" w:rsidP="0007496B">
      <w:pPr>
        <w:pStyle w:val="BodyText"/>
        <w:spacing w:before="8"/>
        <w:ind w:left="0" w:firstLine="0"/>
        <w:rPr>
          <w:b/>
          <w:sz w:val="20"/>
        </w:rPr>
      </w:pPr>
    </w:p>
    <w:p w14:paraId="72C05556" w14:textId="77777777" w:rsidR="0007496B" w:rsidRDefault="0007496B" w:rsidP="0007496B">
      <w:pPr>
        <w:pStyle w:val="ListParagraph"/>
        <w:widowControl w:val="0"/>
        <w:numPr>
          <w:ilvl w:val="0"/>
          <w:numId w:val="6"/>
        </w:numPr>
        <w:shd w:val="clear" w:color="auto" w:fill="E7E6E6" w:themeFill="background2"/>
        <w:tabs>
          <w:tab w:val="left" w:pos="838"/>
        </w:tabs>
        <w:autoSpaceDE w:val="0"/>
        <w:autoSpaceDN w:val="0"/>
        <w:spacing w:after="0" w:line="240" w:lineRule="auto"/>
        <w:ind w:left="837" w:hanging="721"/>
        <w:contextualSpacing w:val="0"/>
        <w:jc w:val="both"/>
        <w:rPr>
          <w:b/>
        </w:rPr>
      </w:pPr>
      <w:bookmarkStart w:id="13" w:name="IV._Other_institutional_issues_related_t"/>
      <w:bookmarkStart w:id="14" w:name="A._The_process_for_preparing_and_enactin"/>
      <w:bookmarkEnd w:id="13"/>
      <w:bookmarkEnd w:id="14"/>
      <w:r>
        <w:rPr>
          <w:b/>
        </w:rPr>
        <w:t>Other institutional issues related to checks and</w:t>
      </w:r>
      <w:r>
        <w:rPr>
          <w:b/>
          <w:spacing w:val="-4"/>
        </w:rPr>
        <w:t xml:space="preserve"> </w:t>
      </w:r>
      <w:r>
        <w:rPr>
          <w:b/>
        </w:rPr>
        <w:t>balances</w:t>
      </w:r>
    </w:p>
    <w:p w14:paraId="5796C20C" w14:textId="77777777" w:rsidR="0007496B" w:rsidRDefault="0007496B" w:rsidP="0007496B">
      <w:pPr>
        <w:pStyle w:val="ListParagraph"/>
        <w:widowControl w:val="0"/>
        <w:numPr>
          <w:ilvl w:val="0"/>
          <w:numId w:val="1"/>
        </w:numPr>
        <w:tabs>
          <w:tab w:val="left" w:pos="544"/>
        </w:tabs>
        <w:autoSpaceDE w:val="0"/>
        <w:autoSpaceDN w:val="0"/>
        <w:spacing w:before="121" w:after="0" w:line="240" w:lineRule="auto"/>
        <w:contextualSpacing w:val="0"/>
        <w:jc w:val="both"/>
        <w:rPr>
          <w:b/>
          <w:i/>
        </w:rPr>
      </w:pPr>
      <w:r>
        <w:rPr>
          <w:b/>
          <w:i/>
        </w:rPr>
        <w:t>The process for preparing and enacting</w:t>
      </w:r>
      <w:r>
        <w:rPr>
          <w:b/>
          <w:i/>
          <w:spacing w:val="-9"/>
        </w:rPr>
        <w:t xml:space="preserve"> </w:t>
      </w:r>
      <w:r>
        <w:rPr>
          <w:b/>
          <w:i/>
        </w:rPr>
        <w:t>laws</w:t>
      </w:r>
    </w:p>
    <w:p w14:paraId="2C57B6E9" w14:textId="0DB1481F" w:rsidR="007F08E5" w:rsidRDefault="0007496B" w:rsidP="0007496B">
      <w:pPr>
        <w:pStyle w:val="ListParagraph"/>
        <w:widowControl w:val="0"/>
        <w:numPr>
          <w:ilvl w:val="0"/>
          <w:numId w:val="4"/>
        </w:numPr>
        <w:tabs>
          <w:tab w:val="left" w:pos="1216"/>
        </w:tabs>
        <w:autoSpaceDE w:val="0"/>
        <w:autoSpaceDN w:val="0"/>
        <w:spacing w:before="113" w:after="0" w:line="240" w:lineRule="auto"/>
        <w:ind w:left="1215" w:right="107" w:hanging="360"/>
        <w:contextualSpacing w:val="0"/>
        <w:jc w:val="both"/>
        <w:rPr>
          <w:i/>
        </w:rPr>
      </w:pPr>
      <w:r>
        <w:rPr>
          <w:i/>
        </w:rPr>
        <w:t>Framework, policy and use of impact assessments, stakeholders'/public consultations (particularly consultation of judiciary on judicial reforms), and transparency and quality of the legislative</w:t>
      </w:r>
      <w:r>
        <w:rPr>
          <w:i/>
          <w:spacing w:val="-3"/>
        </w:rPr>
        <w:t xml:space="preserve"> </w:t>
      </w:r>
      <w:r>
        <w:rPr>
          <w:i/>
        </w:rPr>
        <w:t>process</w:t>
      </w:r>
    </w:p>
    <w:p w14:paraId="6BCBE074" w14:textId="77777777" w:rsidR="00E56C53" w:rsidRDefault="00E56C53" w:rsidP="00BE4314">
      <w:pPr>
        <w:jc w:val="both"/>
      </w:pPr>
    </w:p>
    <w:p w14:paraId="652898A3" w14:textId="6FCA70A5" w:rsidR="00BE4314" w:rsidRPr="00BE4314" w:rsidRDefault="00BE4314" w:rsidP="00E56C53">
      <w:pPr>
        <w:jc w:val="both"/>
      </w:pPr>
      <w:r w:rsidRPr="00BE4314">
        <w:t>In its 2019 concluding observations,</w:t>
      </w:r>
      <w:r w:rsidR="00E56C53">
        <w:t xml:space="preserve"> the UN Human Rights Committee </w:t>
      </w:r>
      <w:r>
        <w:t xml:space="preserve">recommended that the Netherlands </w:t>
      </w:r>
      <w:r w:rsidRPr="00BE4314">
        <w:t>review its counter-terrorism legislative measures, with a view to assessing their human rights impact and bringing those measures and judicial safeguards on their manner of application into line with international due process standards and</w:t>
      </w:r>
      <w:r>
        <w:t xml:space="preserve"> the provisions of the Covenan</w:t>
      </w:r>
      <w:r w:rsidR="00A87D15">
        <w:t>t on Civil and Political Rights</w:t>
      </w:r>
      <w:r w:rsidRPr="00BE4314">
        <w:t xml:space="preserve"> and ensure meaningful participation of civil society in the process. In particular, it should revise the Dutch Nationality Act with a view to ensuring effective safeguards against arbitrary loss of nationality and discriminatory effects as well as the effective </w:t>
      </w:r>
      <w:r>
        <w:t>exercise of the right to appeal (</w:t>
      </w:r>
      <w:hyperlink r:id="rId17" w:history="1">
        <w:r w:rsidR="00E877E0" w:rsidRPr="00E877E0">
          <w:rPr>
            <w:rStyle w:val="Hyperlink"/>
          </w:rPr>
          <w:t>CCPR/C/NLD/CO/5</w:t>
        </w:r>
      </w:hyperlink>
      <w:r>
        <w:t>, para 51</w:t>
      </w:r>
      <w:r w:rsidR="00E877E0">
        <w:t>)</w:t>
      </w:r>
      <w:r w:rsidR="00E56C53">
        <w:t>.</w:t>
      </w:r>
    </w:p>
    <w:p w14:paraId="4D9F1F4C" w14:textId="51D880B8" w:rsidR="0007496B" w:rsidRPr="00E56C53" w:rsidRDefault="007F08E5" w:rsidP="00E56C53">
      <w:pPr>
        <w:tabs>
          <w:tab w:val="left" w:pos="1216"/>
        </w:tabs>
        <w:spacing w:before="113"/>
        <w:ind w:right="107"/>
        <w:jc w:val="both"/>
        <w:rPr>
          <w:bCs/>
          <w:iCs/>
        </w:rPr>
      </w:pPr>
      <w:r w:rsidRPr="007F08E5">
        <w:rPr>
          <w:iCs/>
        </w:rPr>
        <w:t>The UN Special Rapporteur on contemporary forms of racism, racial discrimination, xenophobia and related intolerance in her 2020 report of her visit to the Netherlands</w:t>
      </w:r>
      <w:r>
        <w:rPr>
          <w:iCs/>
        </w:rPr>
        <w:t xml:space="preserve"> noted that r</w:t>
      </w:r>
      <w:r w:rsidRPr="007F08E5">
        <w:rPr>
          <w:iCs/>
        </w:rPr>
        <w:t>acial and ethnic minority members serving on national and local legislative bodies have reported experiencing different treatment from their colleagues. These individuals face considerable opposition in pursuing reform to secure racial equality and non-discrimination. In addition, they have recounted enduring personal indignities as a result of the pervasive racist political discourse. Some have even reported threats and intimidation from the public, including death threats.</w:t>
      </w:r>
      <w:r>
        <w:rPr>
          <w:iCs/>
        </w:rPr>
        <w:t xml:space="preserve"> The Special Rapporteur recommended that the Netherlands </w:t>
      </w:r>
      <w:r w:rsidRPr="007F08E5">
        <w:t>encourage open debate about the definition of Dutch values to ensure that these standards are reflective of Dutch society as a whole, and to prevent discriminatory perspectives from informing policies that are integral to fostering social cohesion</w:t>
      </w:r>
      <w:r>
        <w:t>. In addition, she recommended to a</w:t>
      </w:r>
      <w:r w:rsidRPr="007F08E5">
        <w:t>dopt participative approaches to po</w:t>
      </w:r>
      <w:r w:rsidR="00BE4314">
        <w:t xml:space="preserve">licymaking to </w:t>
      </w:r>
      <w:r w:rsidRPr="007F08E5">
        <w:t xml:space="preserve">ensure the participation of affected and vulnerable groups and adopt policymaking approaches that </w:t>
      </w:r>
      <w:proofErr w:type="spellStart"/>
      <w:r w:rsidRPr="007F08E5">
        <w:t>centre</w:t>
      </w:r>
      <w:proofErr w:type="spellEnd"/>
      <w:r w:rsidRPr="007F08E5">
        <w:t xml:space="preserve"> on the needs and voices of these groups. Moreover, the Government must consult vulnerable communities on the issues they confront. The Special Rapp</w:t>
      </w:r>
      <w:r w:rsidR="00E877E0">
        <w:t xml:space="preserve">orteur recommended </w:t>
      </w:r>
      <w:r w:rsidRPr="007F08E5">
        <w:t>engaging with other communities facing threats, including Muslims and human rights defenders such</w:t>
      </w:r>
      <w:r>
        <w:t xml:space="preserve"> as anti-Black Piet activists </w:t>
      </w:r>
      <w:r w:rsidRPr="007F08E5">
        <w:rPr>
          <w:bCs/>
          <w:iCs/>
        </w:rPr>
        <w:t>(</w:t>
      </w:r>
      <w:hyperlink r:id="rId18" w:history="1">
        <w:r w:rsidRPr="007F08E5">
          <w:rPr>
            <w:rStyle w:val="Hyperlink"/>
            <w:bCs/>
            <w:iCs/>
          </w:rPr>
          <w:t>A/HRC/44/57/Add.2</w:t>
        </w:r>
      </w:hyperlink>
      <w:r>
        <w:rPr>
          <w:bCs/>
          <w:iCs/>
        </w:rPr>
        <w:t>, para 41, 75, 79e</w:t>
      </w:r>
      <w:r w:rsidRPr="007F08E5">
        <w:rPr>
          <w:bCs/>
          <w:iCs/>
        </w:rPr>
        <w:t xml:space="preserve">). </w:t>
      </w:r>
    </w:p>
    <w:p w14:paraId="6C8097C0" w14:textId="77777777" w:rsidR="0007496B" w:rsidRDefault="0007496B" w:rsidP="0007496B">
      <w:pPr>
        <w:pStyle w:val="ListParagraph"/>
        <w:widowControl w:val="0"/>
        <w:numPr>
          <w:ilvl w:val="0"/>
          <w:numId w:val="4"/>
        </w:numPr>
        <w:tabs>
          <w:tab w:val="left" w:pos="1216"/>
        </w:tabs>
        <w:autoSpaceDE w:val="0"/>
        <w:autoSpaceDN w:val="0"/>
        <w:spacing w:before="118" w:after="0" w:line="240" w:lineRule="auto"/>
        <w:ind w:left="1215" w:right="107"/>
        <w:contextualSpacing w:val="0"/>
        <w:jc w:val="both"/>
        <w:rPr>
          <w:i/>
        </w:rPr>
      </w:pPr>
      <w:r>
        <w:rPr>
          <w:i/>
        </w:rPr>
        <w:t>Rules and use of fast-track procedures and emergency procedures (for example, the percentage of decisions adopted through emergency/urgent procedure compared to the total number of adopted</w:t>
      </w:r>
      <w:r>
        <w:rPr>
          <w:i/>
          <w:spacing w:val="-1"/>
        </w:rPr>
        <w:t xml:space="preserve"> </w:t>
      </w:r>
      <w:r>
        <w:rPr>
          <w:i/>
        </w:rPr>
        <w:t>decisions)</w:t>
      </w:r>
    </w:p>
    <w:p w14:paraId="1C4A853B" w14:textId="77777777" w:rsidR="0007496B" w:rsidRDefault="0007496B" w:rsidP="0007496B">
      <w:pPr>
        <w:pStyle w:val="ListParagraph"/>
        <w:widowControl w:val="0"/>
        <w:numPr>
          <w:ilvl w:val="0"/>
          <w:numId w:val="4"/>
        </w:numPr>
        <w:tabs>
          <w:tab w:val="left" w:pos="1216"/>
        </w:tabs>
        <w:autoSpaceDE w:val="0"/>
        <w:autoSpaceDN w:val="0"/>
        <w:spacing w:before="121" w:after="0" w:line="240" w:lineRule="auto"/>
        <w:ind w:left="1215"/>
        <w:contextualSpacing w:val="0"/>
        <w:jc w:val="both"/>
        <w:rPr>
          <w:i/>
        </w:rPr>
      </w:pPr>
      <w:r>
        <w:rPr>
          <w:i/>
        </w:rPr>
        <w:t>Regime for constitutional review of</w:t>
      </w:r>
      <w:r>
        <w:rPr>
          <w:i/>
          <w:spacing w:val="-2"/>
        </w:rPr>
        <w:t xml:space="preserve"> </w:t>
      </w:r>
      <w:r>
        <w:rPr>
          <w:i/>
        </w:rPr>
        <w:t>laws</w:t>
      </w:r>
    </w:p>
    <w:p w14:paraId="71E5F23C" w14:textId="77777777" w:rsidR="0007496B" w:rsidRDefault="0007496B" w:rsidP="0007496B">
      <w:pPr>
        <w:pStyle w:val="ListParagraph"/>
        <w:widowControl w:val="0"/>
        <w:numPr>
          <w:ilvl w:val="0"/>
          <w:numId w:val="4"/>
        </w:numPr>
        <w:tabs>
          <w:tab w:val="left" w:pos="1216"/>
        </w:tabs>
        <w:autoSpaceDE w:val="0"/>
        <w:autoSpaceDN w:val="0"/>
        <w:spacing w:before="120" w:after="0" w:line="240" w:lineRule="auto"/>
        <w:ind w:left="1215" w:right="108"/>
        <w:contextualSpacing w:val="0"/>
        <w:jc w:val="both"/>
        <w:rPr>
          <w:i/>
        </w:rPr>
      </w:pPr>
      <w:r>
        <w:rPr>
          <w:i/>
        </w:rPr>
        <w:t>COVID-19: provide update on significant developments with regard to emergency regimes in the context of the COVID-19</w:t>
      </w:r>
      <w:r>
        <w:rPr>
          <w:i/>
          <w:spacing w:val="-2"/>
        </w:rPr>
        <w:t xml:space="preserve"> </w:t>
      </w:r>
      <w:r>
        <w:rPr>
          <w:i/>
        </w:rPr>
        <w:t>pandemic</w:t>
      </w:r>
    </w:p>
    <w:p w14:paraId="1D8AE4C8" w14:textId="77777777" w:rsidR="0007496B" w:rsidRDefault="0007496B" w:rsidP="0007496B">
      <w:pPr>
        <w:pStyle w:val="ListParagraph"/>
        <w:widowControl w:val="0"/>
        <w:numPr>
          <w:ilvl w:val="1"/>
          <w:numId w:val="4"/>
        </w:numPr>
        <w:tabs>
          <w:tab w:val="left" w:pos="1575"/>
          <w:tab w:val="left" w:pos="1576"/>
        </w:tabs>
        <w:autoSpaceDE w:val="0"/>
        <w:autoSpaceDN w:val="0"/>
        <w:spacing w:before="120" w:after="0" w:line="240" w:lineRule="auto"/>
        <w:ind w:right="256"/>
        <w:contextualSpacing w:val="0"/>
        <w:rPr>
          <w:i/>
        </w:rPr>
      </w:pPr>
      <w:r>
        <w:rPr>
          <w:i/>
        </w:rPr>
        <w:t>judicial review (including constitutional review) of emergency regimes and measures in the context of COVID-19</w:t>
      </w:r>
      <w:r>
        <w:rPr>
          <w:i/>
          <w:spacing w:val="-2"/>
        </w:rPr>
        <w:t xml:space="preserve"> </w:t>
      </w:r>
      <w:r>
        <w:rPr>
          <w:i/>
        </w:rPr>
        <w:t>pandemic</w:t>
      </w:r>
    </w:p>
    <w:p w14:paraId="74777F3B" w14:textId="77777777" w:rsidR="0007496B" w:rsidRDefault="0007496B" w:rsidP="0007496B">
      <w:pPr>
        <w:pStyle w:val="ListParagraph"/>
        <w:widowControl w:val="0"/>
        <w:numPr>
          <w:ilvl w:val="1"/>
          <w:numId w:val="4"/>
        </w:numPr>
        <w:tabs>
          <w:tab w:val="left" w:pos="1575"/>
          <w:tab w:val="left" w:pos="1576"/>
        </w:tabs>
        <w:autoSpaceDE w:val="0"/>
        <w:autoSpaceDN w:val="0"/>
        <w:spacing w:after="0" w:line="240" w:lineRule="auto"/>
        <w:ind w:right="134"/>
        <w:contextualSpacing w:val="0"/>
        <w:rPr>
          <w:i/>
        </w:rPr>
      </w:pPr>
      <w:r>
        <w:rPr>
          <w:i/>
        </w:rPr>
        <w:t>oversight by Parliament of emergency regimes and measures in the context of COVID- 19 pandemic</w:t>
      </w:r>
    </w:p>
    <w:p w14:paraId="2758EB94" w14:textId="77777777" w:rsidR="0007496B" w:rsidRDefault="0007496B" w:rsidP="0007496B">
      <w:pPr>
        <w:pStyle w:val="ListParagraph"/>
        <w:widowControl w:val="0"/>
        <w:numPr>
          <w:ilvl w:val="1"/>
          <w:numId w:val="4"/>
        </w:numPr>
        <w:tabs>
          <w:tab w:val="left" w:pos="1575"/>
          <w:tab w:val="left" w:pos="1576"/>
        </w:tabs>
        <w:autoSpaceDE w:val="0"/>
        <w:autoSpaceDN w:val="0"/>
        <w:spacing w:after="0" w:line="240" w:lineRule="auto"/>
        <w:ind w:right="533"/>
        <w:contextualSpacing w:val="0"/>
        <w:rPr>
          <w:i/>
        </w:rPr>
      </w:pPr>
      <w:r>
        <w:rPr>
          <w:i/>
        </w:rPr>
        <w:t>measures taken to ensure the continued activity of Parliament (including possible best practices)</w:t>
      </w:r>
    </w:p>
    <w:p w14:paraId="19524B09" w14:textId="77777777" w:rsidR="0007496B" w:rsidRDefault="0007496B" w:rsidP="0007496B">
      <w:pPr>
        <w:pStyle w:val="Heading2"/>
        <w:numPr>
          <w:ilvl w:val="0"/>
          <w:numId w:val="1"/>
        </w:numPr>
        <w:tabs>
          <w:tab w:val="left" w:pos="543"/>
          <w:tab w:val="left" w:pos="544"/>
        </w:tabs>
        <w:spacing w:before="126"/>
      </w:pPr>
      <w:bookmarkStart w:id="15" w:name="B._Independent_authorities"/>
      <w:bookmarkEnd w:id="15"/>
      <w:r>
        <w:t>Independent</w:t>
      </w:r>
      <w:r>
        <w:rPr>
          <w:spacing w:val="-3"/>
        </w:rPr>
        <w:t xml:space="preserve"> </w:t>
      </w:r>
      <w:r>
        <w:t>authorities</w:t>
      </w:r>
    </w:p>
    <w:p w14:paraId="05154994" w14:textId="0983B2CA" w:rsidR="0007496B" w:rsidRDefault="0007496B" w:rsidP="0007496B">
      <w:pPr>
        <w:pStyle w:val="ListParagraph"/>
        <w:widowControl w:val="0"/>
        <w:numPr>
          <w:ilvl w:val="0"/>
          <w:numId w:val="4"/>
        </w:numPr>
        <w:tabs>
          <w:tab w:val="left" w:pos="1216"/>
        </w:tabs>
        <w:autoSpaceDE w:val="0"/>
        <w:autoSpaceDN w:val="0"/>
        <w:spacing w:before="113" w:after="0" w:line="240" w:lineRule="auto"/>
        <w:ind w:left="1215" w:right="108" w:hanging="360"/>
        <w:contextualSpacing w:val="0"/>
        <w:jc w:val="both"/>
        <w:rPr>
          <w:i/>
        </w:rPr>
      </w:pPr>
      <w:r>
        <w:rPr>
          <w:i/>
        </w:rPr>
        <w:t>Independence, capacity and powers of national human rights institutions (‘NHRIs’), of ombudsman institutions if different from NHRIs, of equality bodies if different from NHRIs and of supreme audit institutions</w:t>
      </w:r>
      <w:r>
        <w:rPr>
          <w:rStyle w:val="FootnoteReference"/>
          <w:i/>
        </w:rPr>
        <w:footnoteReference w:id="7"/>
      </w:r>
    </w:p>
    <w:p w14:paraId="1C517129" w14:textId="77777777" w:rsidR="00013F8F" w:rsidRDefault="00013F8F" w:rsidP="00013F8F">
      <w:pPr>
        <w:widowControl w:val="0"/>
        <w:tabs>
          <w:tab w:val="left" w:pos="1216"/>
        </w:tabs>
        <w:autoSpaceDE w:val="0"/>
        <w:autoSpaceDN w:val="0"/>
        <w:spacing w:before="113" w:after="0" w:line="240" w:lineRule="auto"/>
        <w:ind w:left="855" w:right="108"/>
        <w:jc w:val="both"/>
        <w:rPr>
          <w:i/>
        </w:rPr>
      </w:pPr>
    </w:p>
    <w:p w14:paraId="6D6ABC4A" w14:textId="18F8A229" w:rsidR="001B5B11" w:rsidRDefault="001E3EB1" w:rsidP="001B5B11">
      <w:pPr>
        <w:pStyle w:val="Heading2"/>
        <w:spacing w:before="33"/>
        <w:ind w:left="116" w:firstLine="0"/>
        <w:jc w:val="both"/>
        <w:rPr>
          <w:b w:val="0"/>
          <w:bCs w:val="0"/>
          <w:i w:val="0"/>
        </w:rPr>
      </w:pPr>
      <w:r>
        <w:rPr>
          <w:b w:val="0"/>
          <w:bCs w:val="0"/>
          <w:i w:val="0"/>
        </w:rPr>
        <w:t>In its 2018 concluding observations,</w:t>
      </w:r>
      <w:r w:rsidR="007F0515">
        <w:rPr>
          <w:b w:val="0"/>
          <w:bCs w:val="0"/>
          <w:i w:val="0"/>
        </w:rPr>
        <w:t xml:space="preserve"> t</w:t>
      </w:r>
      <w:r w:rsidR="00013F8F" w:rsidRPr="00E96AE9">
        <w:rPr>
          <w:b w:val="0"/>
          <w:bCs w:val="0"/>
          <w:i w:val="0"/>
        </w:rPr>
        <w:t xml:space="preserve">he UN Committee against Torture </w:t>
      </w:r>
      <w:r>
        <w:rPr>
          <w:b w:val="0"/>
          <w:bCs w:val="0"/>
          <w:i w:val="0"/>
        </w:rPr>
        <w:t>was</w:t>
      </w:r>
      <w:r w:rsidRPr="00E96AE9">
        <w:rPr>
          <w:b w:val="0"/>
          <w:bCs w:val="0"/>
          <w:i w:val="0"/>
        </w:rPr>
        <w:t xml:space="preserve"> </w:t>
      </w:r>
      <w:r w:rsidR="00013F8F" w:rsidRPr="00E96AE9">
        <w:rPr>
          <w:b w:val="0"/>
          <w:bCs w:val="0"/>
          <w:i w:val="0"/>
        </w:rPr>
        <w:t xml:space="preserve">concerned about consistent reports on the lack of both resources and independence of the national preventive mechanism. It </w:t>
      </w:r>
      <w:r>
        <w:rPr>
          <w:b w:val="0"/>
          <w:bCs w:val="0"/>
          <w:i w:val="0"/>
        </w:rPr>
        <w:t>was</w:t>
      </w:r>
      <w:r w:rsidRPr="00E96AE9">
        <w:rPr>
          <w:b w:val="0"/>
          <w:bCs w:val="0"/>
          <w:i w:val="0"/>
        </w:rPr>
        <w:t xml:space="preserve"> </w:t>
      </w:r>
      <w:r w:rsidR="00013F8F" w:rsidRPr="00E96AE9">
        <w:rPr>
          <w:b w:val="0"/>
          <w:bCs w:val="0"/>
          <w:i w:val="0"/>
        </w:rPr>
        <w:t>also concerned about information that the mechanism does not effectively monitor detention facilities leased to foreign countries and military detention facilities, including those managed overseas</w:t>
      </w:r>
      <w:r w:rsidR="00E56C53">
        <w:rPr>
          <w:b w:val="0"/>
          <w:bCs w:val="0"/>
          <w:i w:val="0"/>
        </w:rPr>
        <w:t xml:space="preserve"> (</w:t>
      </w:r>
      <w:hyperlink r:id="rId19" w:history="1">
        <w:r w:rsidR="001B5B11" w:rsidRPr="00E96AE9">
          <w:rPr>
            <w:rStyle w:val="Hyperlink"/>
            <w:b w:val="0"/>
            <w:bCs w:val="0"/>
            <w:i w:val="0"/>
          </w:rPr>
          <w:t>CAT/C/NLD/CO/7</w:t>
        </w:r>
      </w:hyperlink>
      <w:r w:rsidR="001B5B11" w:rsidRPr="00E96AE9">
        <w:rPr>
          <w:b w:val="0"/>
          <w:bCs w:val="0"/>
          <w:i w:val="0"/>
        </w:rPr>
        <w:t>, para 22</w:t>
      </w:r>
      <w:r>
        <w:rPr>
          <w:b w:val="0"/>
          <w:bCs w:val="0"/>
          <w:i w:val="0"/>
        </w:rPr>
        <w:t>,</w:t>
      </w:r>
      <w:r w:rsidR="001B5B11">
        <w:rPr>
          <w:b w:val="0"/>
          <w:bCs w:val="0"/>
          <w:i w:val="0"/>
        </w:rPr>
        <w:t xml:space="preserve"> 24</w:t>
      </w:r>
      <w:r w:rsidR="001B5B11" w:rsidRPr="00E96AE9">
        <w:rPr>
          <w:b w:val="0"/>
          <w:bCs w:val="0"/>
          <w:i w:val="0"/>
        </w:rPr>
        <w:t>)</w:t>
      </w:r>
      <w:r w:rsidR="001B5B11">
        <w:rPr>
          <w:b w:val="0"/>
          <w:bCs w:val="0"/>
          <w:i w:val="0"/>
        </w:rPr>
        <w:t>.</w:t>
      </w:r>
    </w:p>
    <w:p w14:paraId="11AA068E" w14:textId="6014C24D" w:rsidR="00F4440B" w:rsidRDefault="00F4440B" w:rsidP="001B5B11">
      <w:pPr>
        <w:pStyle w:val="Heading2"/>
        <w:spacing w:before="33"/>
        <w:ind w:left="116" w:firstLine="0"/>
        <w:jc w:val="both"/>
        <w:rPr>
          <w:b w:val="0"/>
          <w:bCs w:val="0"/>
          <w:i w:val="0"/>
        </w:rPr>
      </w:pPr>
    </w:p>
    <w:p w14:paraId="61E53280" w14:textId="314306D1" w:rsidR="00013F8F" w:rsidRDefault="00F4440B" w:rsidP="007F0515">
      <w:pPr>
        <w:pStyle w:val="Heading2"/>
        <w:spacing w:before="33"/>
        <w:ind w:left="116" w:firstLine="0"/>
        <w:jc w:val="both"/>
        <w:rPr>
          <w:b w:val="0"/>
          <w:bCs w:val="0"/>
          <w:i w:val="0"/>
        </w:rPr>
      </w:pPr>
      <w:r>
        <w:rPr>
          <w:b w:val="0"/>
          <w:bCs w:val="0"/>
          <w:i w:val="0"/>
        </w:rPr>
        <w:t xml:space="preserve">In </w:t>
      </w:r>
      <w:r w:rsidR="001E3EB1">
        <w:rPr>
          <w:b w:val="0"/>
          <w:bCs w:val="0"/>
          <w:i w:val="0"/>
        </w:rPr>
        <w:t xml:space="preserve">December </w:t>
      </w:r>
      <w:r>
        <w:rPr>
          <w:b w:val="0"/>
          <w:bCs w:val="0"/>
          <w:i w:val="0"/>
        </w:rPr>
        <w:t xml:space="preserve">2020, the </w:t>
      </w:r>
      <w:r w:rsidRPr="00F4440B">
        <w:rPr>
          <w:b w:val="0"/>
          <w:bCs w:val="0"/>
          <w:i w:val="0"/>
        </w:rPr>
        <w:t>Global Alliance for National Human Rights Institutions (GANHRI)</w:t>
      </w:r>
      <w:r>
        <w:rPr>
          <w:b w:val="0"/>
          <w:bCs w:val="0"/>
          <w:i w:val="0"/>
        </w:rPr>
        <w:t xml:space="preserve"> </w:t>
      </w:r>
      <w:r w:rsidRPr="00F4440B">
        <w:rPr>
          <w:b w:val="0"/>
          <w:bCs w:val="0"/>
          <w:i w:val="0"/>
        </w:rPr>
        <w:t>Sub-Committee on Accreditation</w:t>
      </w:r>
      <w:r>
        <w:rPr>
          <w:b w:val="0"/>
          <w:bCs w:val="0"/>
          <w:i w:val="0"/>
        </w:rPr>
        <w:t xml:space="preserve"> (SC</w:t>
      </w:r>
      <w:r w:rsidR="001E3EB1">
        <w:rPr>
          <w:b w:val="0"/>
          <w:bCs w:val="0"/>
          <w:i w:val="0"/>
        </w:rPr>
        <w:t>A</w:t>
      </w:r>
      <w:r>
        <w:rPr>
          <w:b w:val="0"/>
          <w:bCs w:val="0"/>
          <w:i w:val="0"/>
        </w:rPr>
        <w:t>)</w:t>
      </w:r>
      <w:r w:rsidRPr="00F4440B">
        <w:rPr>
          <w:b w:val="0"/>
          <w:bCs w:val="0"/>
          <w:i w:val="0"/>
        </w:rPr>
        <w:t xml:space="preserve"> recommend</w:t>
      </w:r>
      <w:r>
        <w:rPr>
          <w:b w:val="0"/>
          <w:bCs w:val="0"/>
          <w:i w:val="0"/>
        </w:rPr>
        <w:t>ed</w:t>
      </w:r>
      <w:r w:rsidRPr="00F4440B">
        <w:rPr>
          <w:b w:val="0"/>
          <w:bCs w:val="0"/>
          <w:i w:val="0"/>
        </w:rPr>
        <w:t xml:space="preserve"> that the</w:t>
      </w:r>
      <w:r w:rsidR="001E3EB1">
        <w:rPr>
          <w:b w:val="0"/>
          <w:bCs w:val="0"/>
          <w:i w:val="0"/>
        </w:rPr>
        <w:t xml:space="preserve"> </w:t>
      </w:r>
      <w:r w:rsidR="001E3EB1" w:rsidRPr="001E3EB1">
        <w:rPr>
          <w:b w:val="0"/>
          <w:bCs w:val="0"/>
          <w:i w:val="0"/>
        </w:rPr>
        <w:t>Nether</w:t>
      </w:r>
      <w:r w:rsidR="001E3EB1">
        <w:rPr>
          <w:b w:val="0"/>
          <w:bCs w:val="0"/>
          <w:i w:val="0"/>
        </w:rPr>
        <w:t>lands Institute for Human Rights (</w:t>
      </w:r>
      <w:r w:rsidRPr="00F4440B">
        <w:rPr>
          <w:b w:val="0"/>
          <w:bCs w:val="0"/>
          <w:i w:val="0"/>
        </w:rPr>
        <w:t>NIHR</w:t>
      </w:r>
      <w:r w:rsidR="001E3EB1">
        <w:rPr>
          <w:b w:val="0"/>
          <w:bCs w:val="0"/>
          <w:i w:val="0"/>
        </w:rPr>
        <w:t>)</w:t>
      </w:r>
      <w:r w:rsidRPr="00F4440B">
        <w:rPr>
          <w:b w:val="0"/>
          <w:bCs w:val="0"/>
          <w:i w:val="0"/>
        </w:rPr>
        <w:t xml:space="preserve"> be re-accredited with A status</w:t>
      </w:r>
      <w:r>
        <w:rPr>
          <w:b w:val="0"/>
          <w:bCs w:val="0"/>
          <w:i w:val="0"/>
        </w:rPr>
        <w:t>.</w:t>
      </w:r>
      <w:r w:rsidR="001E3EB1">
        <w:rPr>
          <w:b w:val="0"/>
          <w:bCs w:val="0"/>
          <w:i w:val="0"/>
        </w:rPr>
        <w:t xml:space="preserve"> The SCA highlighted</w:t>
      </w:r>
      <w:r w:rsidR="001E3EB1" w:rsidRPr="001E3EB1">
        <w:rPr>
          <w:b w:val="0"/>
          <w:bCs w:val="0"/>
          <w:i w:val="0"/>
        </w:rPr>
        <w:t xml:space="preserve"> that NHRIs with A status should take reasonable steps to enhance their effectiveness and independence</w:t>
      </w:r>
      <w:r w:rsidR="001E3EB1">
        <w:rPr>
          <w:b w:val="0"/>
          <w:bCs w:val="0"/>
          <w:i w:val="0"/>
        </w:rPr>
        <w:t xml:space="preserve">, </w:t>
      </w:r>
      <w:r w:rsidR="001E3EB1" w:rsidRPr="001E3EB1">
        <w:rPr>
          <w:b w:val="0"/>
          <w:bCs w:val="0"/>
          <w:i w:val="0"/>
        </w:rPr>
        <w:t>in line with the Paris Principles and the recommendations made by the SCA during th</w:t>
      </w:r>
      <w:r w:rsidR="001E3EB1">
        <w:rPr>
          <w:b w:val="0"/>
          <w:bCs w:val="0"/>
          <w:i w:val="0"/>
        </w:rPr>
        <w:t>e</w:t>
      </w:r>
      <w:r w:rsidR="001E3EB1" w:rsidRPr="001E3EB1">
        <w:rPr>
          <w:b w:val="0"/>
          <w:bCs w:val="0"/>
          <w:i w:val="0"/>
        </w:rPr>
        <w:t xml:space="preserve"> review</w:t>
      </w:r>
      <w:r w:rsidR="007F0515">
        <w:rPr>
          <w:b w:val="0"/>
          <w:bCs w:val="0"/>
          <w:i w:val="0"/>
        </w:rPr>
        <w:t xml:space="preserve">, available at </w:t>
      </w:r>
      <w:hyperlink r:id="rId20" w:history="1">
        <w:r w:rsidR="007F0515" w:rsidRPr="00DA7279">
          <w:rPr>
            <w:rStyle w:val="Hyperlink"/>
            <w:b w:val="0"/>
            <w:bCs w:val="0"/>
            <w:i w:val="0"/>
          </w:rPr>
          <w:t>https://nhri.ohchr.org/EN/AboutUs/GANHRIAccreditation/Pages/SCA-Reports.aspx</w:t>
        </w:r>
      </w:hyperlink>
    </w:p>
    <w:p w14:paraId="065A4B8C" w14:textId="77777777" w:rsidR="007F0515" w:rsidRPr="00033248" w:rsidRDefault="007F0515" w:rsidP="007F0515">
      <w:pPr>
        <w:pStyle w:val="Heading2"/>
        <w:spacing w:before="33"/>
        <w:ind w:left="116" w:firstLine="0"/>
        <w:jc w:val="both"/>
        <w:rPr>
          <w:b w:val="0"/>
          <w:bCs w:val="0"/>
          <w:i w:val="0"/>
        </w:rPr>
      </w:pPr>
    </w:p>
    <w:p w14:paraId="1CB453D0" w14:textId="77777777" w:rsidR="0007496B" w:rsidRDefault="0007496B" w:rsidP="0007496B">
      <w:pPr>
        <w:pStyle w:val="Heading2"/>
        <w:numPr>
          <w:ilvl w:val="0"/>
          <w:numId w:val="1"/>
        </w:numPr>
        <w:tabs>
          <w:tab w:val="left" w:pos="544"/>
        </w:tabs>
        <w:spacing w:before="126"/>
        <w:jc w:val="both"/>
      </w:pPr>
      <w:bookmarkStart w:id="16" w:name="C._Accessibility_and_judicial_review_of_"/>
      <w:bookmarkEnd w:id="16"/>
      <w:r>
        <w:t>Accessibility and judicial review of administrative</w:t>
      </w:r>
      <w:r>
        <w:rPr>
          <w:spacing w:val="-7"/>
        </w:rPr>
        <w:t xml:space="preserve"> </w:t>
      </w:r>
      <w:r>
        <w:t>decisions</w:t>
      </w:r>
    </w:p>
    <w:p w14:paraId="392A3F49" w14:textId="1AD90066" w:rsidR="001E3EB1" w:rsidRDefault="0007496B" w:rsidP="001E3EB1">
      <w:pPr>
        <w:pStyle w:val="ListParagraph"/>
        <w:widowControl w:val="0"/>
        <w:numPr>
          <w:ilvl w:val="0"/>
          <w:numId w:val="4"/>
        </w:numPr>
        <w:tabs>
          <w:tab w:val="left" w:pos="1267"/>
        </w:tabs>
        <w:autoSpaceDE w:val="0"/>
        <w:autoSpaceDN w:val="0"/>
        <w:spacing w:before="113" w:after="0" w:line="240" w:lineRule="auto"/>
        <w:ind w:left="1215" w:right="108" w:hanging="360"/>
        <w:contextualSpacing w:val="0"/>
        <w:jc w:val="both"/>
        <w:rPr>
          <w:i/>
        </w:rPr>
      </w:pPr>
      <w:r>
        <w:tab/>
      </w:r>
      <w:r>
        <w:rPr>
          <w:i/>
        </w:rPr>
        <w:t>Transparency of administrative decisions and sanctions (incl. their publication and rules on collection of related data) and judicial review (incl. scope, suspensive</w:t>
      </w:r>
      <w:r>
        <w:rPr>
          <w:i/>
          <w:spacing w:val="-16"/>
        </w:rPr>
        <w:t xml:space="preserve"> </w:t>
      </w:r>
      <w:r>
        <w:rPr>
          <w:i/>
        </w:rPr>
        <w:t>effect)</w:t>
      </w:r>
    </w:p>
    <w:p w14:paraId="25414147" w14:textId="77777777" w:rsidR="007F0515" w:rsidRDefault="007F0515" w:rsidP="001E3EB1">
      <w:pPr>
        <w:pStyle w:val="Heading2"/>
        <w:spacing w:before="33"/>
        <w:ind w:left="116" w:firstLine="0"/>
        <w:jc w:val="both"/>
        <w:rPr>
          <w:rFonts w:asciiTheme="minorHAnsi" w:hAnsiTheme="minorHAnsi" w:cstheme="minorHAnsi"/>
          <w:b w:val="0"/>
          <w:bCs w:val="0"/>
          <w:i w:val="0"/>
          <w:iCs/>
        </w:rPr>
      </w:pPr>
    </w:p>
    <w:p w14:paraId="668DCBF1" w14:textId="1571BC0A" w:rsidR="001E3EB1" w:rsidRDefault="001E3EB1" w:rsidP="001E3EB1">
      <w:pPr>
        <w:pStyle w:val="Heading2"/>
        <w:spacing w:before="33"/>
        <w:ind w:left="116" w:firstLine="0"/>
        <w:jc w:val="both"/>
        <w:rPr>
          <w:rFonts w:asciiTheme="minorHAnsi" w:hAnsiTheme="minorHAnsi" w:cstheme="minorHAnsi"/>
          <w:b w:val="0"/>
          <w:bCs w:val="0"/>
          <w:i w:val="0"/>
          <w:iCs/>
        </w:rPr>
      </w:pPr>
      <w:r w:rsidRPr="00785F83">
        <w:rPr>
          <w:rFonts w:asciiTheme="minorHAnsi" w:hAnsiTheme="minorHAnsi" w:cstheme="minorHAnsi"/>
          <w:b w:val="0"/>
          <w:bCs w:val="0"/>
          <w:i w:val="0"/>
          <w:iCs/>
        </w:rPr>
        <w:t>In</w:t>
      </w:r>
      <w:r>
        <w:rPr>
          <w:rFonts w:asciiTheme="minorHAnsi" w:hAnsiTheme="minorHAnsi" w:cstheme="minorHAnsi"/>
          <w:b w:val="0"/>
          <w:bCs w:val="0"/>
          <w:i w:val="0"/>
          <w:iCs/>
        </w:rPr>
        <w:t xml:space="preserve"> its</w:t>
      </w:r>
      <w:r w:rsidRPr="00785F83">
        <w:rPr>
          <w:rFonts w:asciiTheme="minorHAnsi" w:hAnsiTheme="minorHAnsi" w:cstheme="minorHAnsi"/>
          <w:b w:val="0"/>
          <w:bCs w:val="0"/>
          <w:i w:val="0"/>
          <w:iCs/>
        </w:rPr>
        <w:t xml:space="preserve"> 2018</w:t>
      </w:r>
      <w:r>
        <w:rPr>
          <w:rFonts w:asciiTheme="minorHAnsi" w:hAnsiTheme="minorHAnsi" w:cstheme="minorHAnsi"/>
          <w:b w:val="0"/>
          <w:bCs w:val="0"/>
          <w:i w:val="0"/>
          <w:iCs/>
        </w:rPr>
        <w:t xml:space="preserve"> concluding observations</w:t>
      </w:r>
      <w:r w:rsidRPr="00785F83">
        <w:rPr>
          <w:rFonts w:asciiTheme="minorHAnsi" w:hAnsiTheme="minorHAnsi" w:cstheme="minorHAnsi"/>
          <w:b w:val="0"/>
          <w:bCs w:val="0"/>
          <w:i w:val="0"/>
          <w:iCs/>
        </w:rPr>
        <w:t>, the UN Committee against Torture raised concern at information that the application of article 20 (a) of the regulation on classification, placement and transfer of detainees leads to an automatic placement of a person suspected or convicted of terrorism in high security units designated for terrorists, known as “TA”, without any individual assessment and where detainees are routinely subjected to very restrictive regimes. It is further concerned at the reported lack of effective complaint mechanisms in the TA units and the absence of statistical data on the number of complaints filed by detainees in the TA units and the nature and outcome thereof (</w:t>
      </w:r>
      <w:hyperlink r:id="rId21" w:history="1">
        <w:r w:rsidRPr="00785F83">
          <w:rPr>
            <w:rStyle w:val="Hyperlink"/>
            <w:rFonts w:asciiTheme="minorHAnsi" w:hAnsiTheme="minorHAnsi" w:cstheme="minorHAnsi"/>
            <w:b w:val="0"/>
            <w:bCs w:val="0"/>
            <w:i w:val="0"/>
            <w:iCs/>
          </w:rPr>
          <w:t>CAT/C/NLD/CO/7</w:t>
        </w:r>
      </w:hyperlink>
      <w:r w:rsidRPr="00785F83">
        <w:rPr>
          <w:rFonts w:asciiTheme="minorHAnsi" w:hAnsiTheme="minorHAnsi" w:cstheme="minorHAnsi"/>
          <w:b w:val="0"/>
          <w:bCs w:val="0"/>
          <w:i w:val="0"/>
          <w:iCs/>
        </w:rPr>
        <w:t>, para 28)</w:t>
      </w:r>
      <w:r>
        <w:rPr>
          <w:rFonts w:asciiTheme="minorHAnsi" w:hAnsiTheme="minorHAnsi" w:cstheme="minorHAnsi"/>
          <w:b w:val="0"/>
          <w:bCs w:val="0"/>
          <w:i w:val="0"/>
          <w:iCs/>
        </w:rPr>
        <w:t>.</w:t>
      </w:r>
    </w:p>
    <w:p w14:paraId="47478780" w14:textId="77777777" w:rsidR="00E56C53" w:rsidRDefault="00E56C53" w:rsidP="001E3EB1">
      <w:pPr>
        <w:pStyle w:val="Heading2"/>
        <w:spacing w:before="33"/>
        <w:ind w:left="116" w:firstLine="0"/>
        <w:jc w:val="both"/>
        <w:rPr>
          <w:rFonts w:asciiTheme="minorHAnsi" w:hAnsiTheme="minorHAnsi" w:cstheme="minorHAnsi"/>
          <w:b w:val="0"/>
          <w:bCs w:val="0"/>
          <w:i w:val="0"/>
          <w:iCs/>
        </w:rPr>
      </w:pPr>
    </w:p>
    <w:p w14:paraId="4544821B" w14:textId="26DD7A98" w:rsidR="007F0515" w:rsidRPr="007F0515" w:rsidRDefault="007F0515" w:rsidP="007F0515">
      <w:pPr>
        <w:pStyle w:val="Heading2"/>
        <w:spacing w:before="33"/>
        <w:ind w:left="116" w:firstLine="0"/>
        <w:jc w:val="both"/>
        <w:rPr>
          <w:rFonts w:asciiTheme="minorHAnsi" w:hAnsiTheme="minorHAnsi" w:cstheme="minorHAnsi"/>
          <w:b w:val="0"/>
          <w:bCs w:val="0"/>
          <w:i w:val="0"/>
          <w:iCs/>
        </w:rPr>
      </w:pPr>
      <w:r w:rsidRPr="007F0515">
        <w:rPr>
          <w:rFonts w:asciiTheme="minorHAnsi" w:hAnsiTheme="minorHAnsi" w:cstheme="minorHAnsi"/>
          <w:b w:val="0"/>
          <w:i w:val="0"/>
          <w:iCs/>
        </w:rPr>
        <w:t>The UN Special Rapporteur on contemporary forms of racism, racial discrimination, xenophobia and related intolerance in her 2020 report of her visit to the Netherlands</w:t>
      </w:r>
      <w:r>
        <w:rPr>
          <w:rFonts w:asciiTheme="minorHAnsi" w:hAnsiTheme="minorHAnsi" w:cstheme="minorHAnsi"/>
          <w:b w:val="0"/>
          <w:i w:val="0"/>
          <w:iCs/>
        </w:rPr>
        <w:t xml:space="preserve"> noted that </w:t>
      </w:r>
      <w:r>
        <w:rPr>
          <w:rFonts w:cstheme="minorHAnsi"/>
          <w:b w:val="0"/>
          <w:i w:val="0"/>
          <w:iCs/>
        </w:rPr>
        <w:t>t</w:t>
      </w:r>
      <w:r w:rsidRPr="007F0515">
        <w:rPr>
          <w:rFonts w:cstheme="minorHAnsi"/>
          <w:b w:val="0"/>
          <w:i w:val="0"/>
          <w:iCs/>
        </w:rPr>
        <w:t>he Temporary Administrative Counter-terrorism Measures Act, enacted on 1 March 2017, provides administrative authorities with far-reaching administrative control measures to reject or revoke subsidies, permits or exemptions to individuals whom the Government suspects of being associated with terrorist activities. The Act does not forest out clear and reasonable grounds for suspicion or require judicial supervision or authorization prior to the application of the administrative control orders. The Special Rapporteur received reports that the Act had only been applied a few times, with the authorities applying administrative mea</w:t>
      </w:r>
      <w:r>
        <w:rPr>
          <w:rFonts w:cstheme="minorHAnsi"/>
          <w:b w:val="0"/>
          <w:i w:val="0"/>
          <w:iCs/>
        </w:rPr>
        <w:t xml:space="preserve">sures in just 6 of 40 cases. </w:t>
      </w:r>
      <w:r w:rsidRPr="007F0515">
        <w:rPr>
          <w:rFonts w:cstheme="minorHAnsi"/>
          <w:b w:val="0"/>
          <w:i w:val="0"/>
          <w:iCs/>
        </w:rPr>
        <w:t>In the other cases, the administrative authorities concluded that the evidence was insufficient to link the individual to terrorist activities.</w:t>
      </w:r>
      <w:r>
        <w:rPr>
          <w:rFonts w:cstheme="minorHAnsi"/>
          <w:b w:val="0"/>
          <w:i w:val="0"/>
          <w:iCs/>
        </w:rPr>
        <w:t xml:space="preserve"> The Special Rapporteur was also concerned by </w:t>
      </w:r>
      <w:r w:rsidRPr="007F0515">
        <w:rPr>
          <w:rFonts w:cstheme="minorHAnsi"/>
          <w:b w:val="0"/>
          <w:i w:val="0"/>
          <w:iCs/>
        </w:rPr>
        <w:t>citizenship-stripping legislation, policies and procedures. It has been reported to the Special Rapporteur that a handful of cases have resulted in nationality stripping. Although being neutral on the face of it, the Netherlands citizenship-stripping legislation, policies and procedures apply only to citizens with dual nationality and therefore disproportionately affects Netherlanders of Moroccan and Turkish descent. Because of its limited applicability, citizenship-stripping legislation in the Netherlands aggravates stereotypes of terrorism by associating terrorism with people of certain ethnic and national origins.</w:t>
      </w:r>
      <w:r w:rsidR="009923AA">
        <w:rPr>
          <w:rFonts w:cstheme="minorHAnsi"/>
          <w:b w:val="0"/>
          <w:i w:val="0"/>
          <w:iCs/>
        </w:rPr>
        <w:t xml:space="preserve"> </w:t>
      </w:r>
      <w:r w:rsidRPr="007F0515">
        <w:rPr>
          <w:rFonts w:cstheme="minorHAnsi"/>
          <w:b w:val="0"/>
          <w:i w:val="0"/>
          <w:iCs/>
        </w:rPr>
        <w:t>The associated policies and their effects are incompatible with international human rights principles of equality and nondiscrimination.</w:t>
      </w:r>
      <w:r w:rsidR="009923AA">
        <w:rPr>
          <w:rFonts w:cstheme="minorHAnsi"/>
          <w:b w:val="0"/>
          <w:i w:val="0"/>
          <w:iCs/>
        </w:rPr>
        <w:t xml:space="preserve"> </w:t>
      </w:r>
      <w:r w:rsidRPr="007F0515">
        <w:rPr>
          <w:rFonts w:cstheme="minorHAnsi"/>
          <w:b w:val="0"/>
          <w:i w:val="0"/>
          <w:iCs/>
        </w:rPr>
        <w:t xml:space="preserve">Furthermore, </w:t>
      </w:r>
      <w:r w:rsidR="00E56C53">
        <w:rPr>
          <w:rFonts w:cstheme="minorHAnsi"/>
          <w:b w:val="0"/>
          <w:i w:val="0"/>
          <w:iCs/>
        </w:rPr>
        <w:t>the Special Rapporteur was</w:t>
      </w:r>
      <w:r w:rsidRPr="007F0515">
        <w:rPr>
          <w:rFonts w:cstheme="minorHAnsi"/>
          <w:b w:val="0"/>
          <w:i w:val="0"/>
          <w:iCs/>
        </w:rPr>
        <w:t xml:space="preserve"> concerned that citizenship</w:t>
      </w:r>
      <w:r w:rsidR="00E56C53">
        <w:rPr>
          <w:rFonts w:cstheme="minorHAnsi"/>
          <w:b w:val="0"/>
          <w:i w:val="0"/>
          <w:iCs/>
        </w:rPr>
        <w:t>-</w:t>
      </w:r>
      <w:r w:rsidRPr="007F0515">
        <w:rPr>
          <w:rFonts w:cstheme="minorHAnsi"/>
          <w:b w:val="0"/>
          <w:i w:val="0"/>
          <w:iCs/>
        </w:rPr>
        <w:t>stripping orders are based primarily on information gathere</w:t>
      </w:r>
      <w:r w:rsidR="009923AA">
        <w:rPr>
          <w:rFonts w:cstheme="minorHAnsi"/>
          <w:b w:val="0"/>
          <w:i w:val="0"/>
          <w:iCs/>
        </w:rPr>
        <w:t xml:space="preserve">d by the security services and </w:t>
      </w:r>
      <w:r w:rsidRPr="007F0515">
        <w:rPr>
          <w:rFonts w:cstheme="minorHAnsi"/>
          <w:b w:val="0"/>
          <w:i w:val="0"/>
          <w:iCs/>
        </w:rPr>
        <w:t>that the individuals affected only have recourse through an appeal to administrative courts on procedural grounds. Such a limited review prevents access to an effective remedy. Those facing a citizenship-stripping order should have access to sufficient information and appeals processes to challenge the order</w:t>
      </w:r>
      <w:r w:rsidR="009923AA">
        <w:rPr>
          <w:rFonts w:cstheme="minorHAnsi"/>
          <w:b w:val="0"/>
          <w:i w:val="0"/>
          <w:iCs/>
        </w:rPr>
        <w:t xml:space="preserve"> (</w:t>
      </w:r>
      <w:hyperlink r:id="rId22" w:history="1">
        <w:r w:rsidR="009923AA" w:rsidRPr="009923AA">
          <w:rPr>
            <w:rStyle w:val="Hyperlink"/>
            <w:rFonts w:cstheme="minorHAnsi"/>
            <w:b w:val="0"/>
            <w:i w:val="0"/>
            <w:iCs/>
          </w:rPr>
          <w:t>A/HRC/44/57/Add.2</w:t>
        </w:r>
      </w:hyperlink>
      <w:r w:rsidR="009923AA">
        <w:rPr>
          <w:rFonts w:cstheme="minorHAnsi"/>
          <w:b w:val="0"/>
          <w:i w:val="0"/>
          <w:iCs/>
        </w:rPr>
        <w:t>, para 59, 60)</w:t>
      </w:r>
    </w:p>
    <w:p w14:paraId="11F0F651" w14:textId="37B0AC2F" w:rsidR="001E3EB1" w:rsidRPr="001E3EB1" w:rsidRDefault="001E3EB1" w:rsidP="001E3EB1">
      <w:pPr>
        <w:widowControl w:val="0"/>
        <w:tabs>
          <w:tab w:val="left" w:pos="1267"/>
        </w:tabs>
        <w:autoSpaceDE w:val="0"/>
        <w:autoSpaceDN w:val="0"/>
        <w:spacing w:before="113" w:after="0" w:line="240" w:lineRule="auto"/>
        <w:ind w:right="108"/>
        <w:jc w:val="both"/>
        <w:rPr>
          <w:i/>
        </w:rPr>
      </w:pPr>
    </w:p>
    <w:p w14:paraId="158CD874" w14:textId="77777777" w:rsidR="0007496B" w:rsidRDefault="0007496B" w:rsidP="0007496B">
      <w:pPr>
        <w:pStyle w:val="ListParagraph"/>
        <w:widowControl w:val="0"/>
        <w:numPr>
          <w:ilvl w:val="0"/>
          <w:numId w:val="4"/>
        </w:numPr>
        <w:tabs>
          <w:tab w:val="left" w:pos="1216"/>
        </w:tabs>
        <w:autoSpaceDE w:val="0"/>
        <w:autoSpaceDN w:val="0"/>
        <w:spacing w:before="121" w:after="0" w:line="240" w:lineRule="auto"/>
        <w:ind w:left="1215"/>
        <w:contextualSpacing w:val="0"/>
        <w:jc w:val="both"/>
        <w:rPr>
          <w:i/>
        </w:rPr>
      </w:pPr>
      <w:r>
        <w:rPr>
          <w:i/>
        </w:rPr>
        <w:t>Implementation by the public administration and State institutions of final court</w:t>
      </w:r>
      <w:r>
        <w:rPr>
          <w:i/>
          <w:spacing w:val="-31"/>
        </w:rPr>
        <w:t xml:space="preserve"> </w:t>
      </w:r>
      <w:r>
        <w:rPr>
          <w:i/>
        </w:rPr>
        <w:t>decisions</w:t>
      </w:r>
    </w:p>
    <w:p w14:paraId="575898EE" w14:textId="77777777" w:rsidR="0007496B" w:rsidRDefault="0007496B" w:rsidP="0007496B">
      <w:pPr>
        <w:pStyle w:val="Heading2"/>
        <w:numPr>
          <w:ilvl w:val="0"/>
          <w:numId w:val="1"/>
        </w:numPr>
        <w:tabs>
          <w:tab w:val="left" w:pos="544"/>
        </w:tabs>
        <w:spacing w:before="33"/>
        <w:jc w:val="both"/>
      </w:pPr>
      <w:bookmarkStart w:id="17" w:name="D._The_enabling_framework_for_civil_soci"/>
      <w:bookmarkEnd w:id="17"/>
      <w:r>
        <w:t>The enabling framework for civil</w:t>
      </w:r>
      <w:r>
        <w:rPr>
          <w:spacing w:val="-5"/>
        </w:rPr>
        <w:t xml:space="preserve"> </w:t>
      </w:r>
      <w:r>
        <w:t>society</w:t>
      </w:r>
    </w:p>
    <w:p w14:paraId="7CEFC48A" w14:textId="45972C59" w:rsidR="0007496B" w:rsidRDefault="0007496B" w:rsidP="0007496B">
      <w:pPr>
        <w:pStyle w:val="ListParagraph"/>
        <w:widowControl w:val="0"/>
        <w:numPr>
          <w:ilvl w:val="0"/>
          <w:numId w:val="4"/>
        </w:numPr>
        <w:tabs>
          <w:tab w:val="left" w:pos="1216"/>
        </w:tabs>
        <w:autoSpaceDE w:val="0"/>
        <w:autoSpaceDN w:val="0"/>
        <w:spacing w:before="120" w:after="0" w:line="240" w:lineRule="auto"/>
        <w:ind w:right="105" w:hanging="356"/>
        <w:contextualSpacing w:val="0"/>
        <w:jc w:val="both"/>
        <w:rPr>
          <w:i/>
        </w:rPr>
      </w:pPr>
      <w:r>
        <w:rPr>
          <w:i/>
        </w:rPr>
        <w:t xml:space="preserve">Measures regarding the framework for civil society </w:t>
      </w:r>
      <w:proofErr w:type="spellStart"/>
      <w:r>
        <w:rPr>
          <w:i/>
        </w:rPr>
        <w:t>organisations</w:t>
      </w:r>
      <w:proofErr w:type="spellEnd"/>
      <w:r>
        <w:rPr>
          <w:i/>
        </w:rPr>
        <w:t xml:space="preserve"> (e.g. access to funding, registration rules, measures capable of affecting the public perception of civil society</w:t>
      </w:r>
      <w:bookmarkStart w:id="18" w:name="E._Initiatives_to_foster_a_rule_of_law_c"/>
      <w:bookmarkEnd w:id="18"/>
      <w:r>
        <w:rPr>
          <w:i/>
        </w:rPr>
        <w:t xml:space="preserve"> </w:t>
      </w:r>
      <w:proofErr w:type="spellStart"/>
      <w:r>
        <w:rPr>
          <w:i/>
        </w:rPr>
        <w:t>organisations</w:t>
      </w:r>
      <w:proofErr w:type="spellEnd"/>
      <w:r>
        <w:rPr>
          <w:i/>
        </w:rPr>
        <w:t>,</w:t>
      </w:r>
      <w:r>
        <w:rPr>
          <w:i/>
          <w:spacing w:val="-1"/>
        </w:rPr>
        <w:t xml:space="preserve"> </w:t>
      </w:r>
      <w:r>
        <w:rPr>
          <w:i/>
        </w:rPr>
        <w:t>etc.)</w:t>
      </w:r>
    </w:p>
    <w:p w14:paraId="48957AFD" w14:textId="4F3B4547" w:rsidR="008F2B6C" w:rsidRDefault="008864A7" w:rsidP="008F2B6C">
      <w:pPr>
        <w:widowControl w:val="0"/>
        <w:tabs>
          <w:tab w:val="left" w:pos="1216"/>
        </w:tabs>
        <w:autoSpaceDE w:val="0"/>
        <w:autoSpaceDN w:val="0"/>
        <w:spacing w:before="120" w:after="0"/>
        <w:ind w:right="105"/>
        <w:jc w:val="both"/>
      </w:pPr>
      <w:r>
        <w:t>I</w:t>
      </w:r>
      <w:r>
        <w:t xml:space="preserve">n </w:t>
      </w:r>
      <w:r w:rsidR="00CB3228">
        <w:t>his</w:t>
      </w:r>
      <w:r>
        <w:t xml:space="preserve"> 2020 </w:t>
      </w:r>
      <w:bookmarkStart w:id="19" w:name="_GoBack"/>
      <w:r w:rsidR="00CB3228">
        <w:t xml:space="preserve">country </w:t>
      </w:r>
      <w:bookmarkEnd w:id="19"/>
      <w:r w:rsidR="00CB3228">
        <w:t xml:space="preserve">visit </w:t>
      </w:r>
      <w:r>
        <w:t>report</w:t>
      </w:r>
      <w:r>
        <w:t>, t</w:t>
      </w:r>
      <w:r w:rsidR="005E1D2D" w:rsidRPr="005E1D2D">
        <w:t xml:space="preserve">he UN Special Rapporteur on freedom of religion or belief </w:t>
      </w:r>
      <w:r>
        <w:t xml:space="preserve">expressed </w:t>
      </w:r>
      <w:r w:rsidR="008F2B6C">
        <w:t>concern</w:t>
      </w:r>
      <w:r>
        <w:t xml:space="preserve"> about</w:t>
      </w:r>
      <w:r w:rsidR="008F2B6C">
        <w:t xml:space="preserve"> </w:t>
      </w:r>
      <w:r w:rsidR="008F2B6C" w:rsidRPr="008F2B6C">
        <w:t xml:space="preserve">several draft laws and policies </w:t>
      </w:r>
      <w:r>
        <w:t xml:space="preserve">that may negatively impact on civil society and </w:t>
      </w:r>
      <w:r w:rsidR="008F2B6C" w:rsidRPr="008F2B6C">
        <w:t>appear</w:t>
      </w:r>
      <w:r>
        <w:t>ed</w:t>
      </w:r>
      <w:r w:rsidR="008F2B6C" w:rsidRPr="008F2B6C">
        <w:t xml:space="preserve"> to target certain religious and b</w:t>
      </w:r>
      <w:r w:rsidR="008177F1">
        <w:t>elief communities. This included</w:t>
      </w:r>
      <w:r w:rsidR="008F2B6C" w:rsidRPr="008F2B6C">
        <w:t xml:space="preserve"> draft legislation </w:t>
      </w:r>
      <w:r>
        <w:t>attempting</w:t>
      </w:r>
      <w:r w:rsidR="008F2B6C" w:rsidRPr="008F2B6C">
        <w:t xml:space="preserve"> to limit funding from “unfree countries” used to “buy undesirable influence” and “abuse Dutch liberties”. A transparency law may also require all organizations to declare income amounts and their country of origin, which some </w:t>
      </w:r>
      <w:proofErr w:type="spellStart"/>
      <w:r w:rsidR="008F2B6C" w:rsidRPr="008F2B6C">
        <w:t>kerkgenootschappen</w:t>
      </w:r>
      <w:proofErr w:type="spellEnd"/>
      <w:r w:rsidR="008F2B6C" w:rsidRPr="008F2B6C">
        <w:t xml:space="preserve"> and other organizations </w:t>
      </w:r>
      <w:r>
        <w:t>were</w:t>
      </w:r>
      <w:r w:rsidR="008F2B6C" w:rsidRPr="008F2B6C">
        <w:t xml:space="preserve"> concerned </w:t>
      </w:r>
      <w:r>
        <w:t>would</w:t>
      </w:r>
      <w:r w:rsidR="008F2B6C" w:rsidRPr="008F2B6C">
        <w:t xml:space="preserve"> deter funders. </w:t>
      </w:r>
      <w:r w:rsidR="008177F1">
        <w:t>Discussions was</w:t>
      </w:r>
      <w:r w:rsidR="008F2B6C" w:rsidRPr="008F2B6C">
        <w:t xml:space="preserve"> under way on drafting an additional “funding from unfree countries” law in 2019, which might further prohibit Dutch organizations from obtaining </w:t>
      </w:r>
      <w:r>
        <w:t>funding from specific countries</w:t>
      </w:r>
      <w:r w:rsidR="008F2B6C" w:rsidRPr="008F2B6C">
        <w:t xml:space="preserve">. A “problematic </w:t>
      </w:r>
      <w:proofErr w:type="spellStart"/>
      <w:r w:rsidR="008F2B6C" w:rsidRPr="008F2B6C">
        <w:t>behaviour</w:t>
      </w:r>
      <w:proofErr w:type="spellEnd"/>
      <w:r w:rsidR="008F2B6C" w:rsidRPr="008F2B6C">
        <w:t xml:space="preserve"> bill”, which would seek to limit so-called undesirable acts stemming from religiously or ideologically motivated </w:t>
      </w:r>
      <w:proofErr w:type="spellStart"/>
      <w:r w:rsidR="008F2B6C" w:rsidRPr="008F2B6C">
        <w:t>behaviour</w:t>
      </w:r>
      <w:proofErr w:type="spellEnd"/>
      <w:r w:rsidR="008F2B6C" w:rsidRPr="008F2B6C">
        <w:t xml:space="preserve"> deemed contrary to Dutc</w:t>
      </w:r>
      <w:r w:rsidR="0058355A">
        <w:t>h values and the rule of law, was</w:t>
      </w:r>
      <w:r w:rsidR="008F2B6C" w:rsidRPr="008F2B6C">
        <w:t xml:space="preserve"> also under consideration. </w:t>
      </w:r>
      <w:r w:rsidR="008F2B6C">
        <w:t>The Special Rapporteur noted that m</w:t>
      </w:r>
      <w:r>
        <w:t>any organizations worried</w:t>
      </w:r>
      <w:r w:rsidR="008F2B6C" w:rsidRPr="008F2B6C">
        <w:t xml:space="preserve"> that these bills </w:t>
      </w:r>
      <w:r>
        <w:t>were</w:t>
      </w:r>
      <w:r w:rsidR="008F2B6C" w:rsidRPr="008F2B6C">
        <w:t xml:space="preserve"> being drafted within the context of increasing discrimination against Muslims and that some aspects of freedom of religion or belief </w:t>
      </w:r>
      <w:r>
        <w:t>were</w:t>
      </w:r>
      <w:r w:rsidR="008F2B6C" w:rsidRPr="008F2B6C">
        <w:t xml:space="preserve"> being undermined</w:t>
      </w:r>
      <w:r w:rsidR="008F2B6C">
        <w:t>. The Special Rapporteur asserted</w:t>
      </w:r>
      <w:r w:rsidR="008F2B6C" w:rsidRPr="008F2B6C">
        <w:t xml:space="preserve"> that all </w:t>
      </w:r>
      <w:r>
        <w:t>government measures</w:t>
      </w:r>
      <w:r w:rsidR="008F2B6C" w:rsidRPr="008F2B6C">
        <w:t xml:space="preserve"> must be fully compliant with international law and the obligation not to discriminate in intent or in effec</w:t>
      </w:r>
      <w:r w:rsidR="0058355A">
        <w:t>t</w:t>
      </w:r>
      <w:r>
        <w:t xml:space="preserve"> against any persons or groups </w:t>
      </w:r>
      <w:r w:rsidR="008F2B6C" w:rsidRPr="008F2B6C">
        <w:t xml:space="preserve">in the enjoyment of </w:t>
      </w:r>
      <w:r>
        <w:t>their fundamental</w:t>
      </w:r>
      <w:r w:rsidR="0058355A">
        <w:t xml:space="preserve"> rights</w:t>
      </w:r>
      <w:r w:rsidR="008F2B6C" w:rsidRPr="008F2B6C">
        <w:t>, except on the basis of objective and reasonable criteria and in conformity with the requirements of proporti</w:t>
      </w:r>
      <w:r w:rsidR="008F2B6C">
        <w:t xml:space="preserve">onality, necessity and legality </w:t>
      </w:r>
      <w:hyperlink r:id="rId23" w:history="1">
        <w:r w:rsidR="008F2B6C" w:rsidRPr="008177F1">
          <w:rPr>
            <w:rStyle w:val="Hyperlink"/>
          </w:rPr>
          <w:t>(</w:t>
        </w:r>
        <w:r w:rsidR="008177F1" w:rsidRPr="008177F1">
          <w:rPr>
            <w:rStyle w:val="Hyperlink"/>
          </w:rPr>
          <w:t>A/HRC/43/48/Add.1</w:t>
        </w:r>
      </w:hyperlink>
      <w:r w:rsidR="008177F1">
        <w:t xml:space="preserve">, para 39, 40). </w:t>
      </w:r>
    </w:p>
    <w:p w14:paraId="7DE78146" w14:textId="77777777" w:rsidR="008864A7" w:rsidRDefault="008864A7" w:rsidP="008864A7">
      <w:pPr>
        <w:widowControl w:val="0"/>
        <w:tabs>
          <w:tab w:val="left" w:pos="1216"/>
        </w:tabs>
        <w:autoSpaceDE w:val="0"/>
        <w:autoSpaceDN w:val="0"/>
        <w:spacing w:before="120" w:after="0"/>
        <w:ind w:right="105"/>
        <w:jc w:val="both"/>
      </w:pPr>
    </w:p>
    <w:p w14:paraId="729CFFA8" w14:textId="259234AE" w:rsidR="008864A7" w:rsidRDefault="008177F1" w:rsidP="008864A7">
      <w:pPr>
        <w:widowControl w:val="0"/>
        <w:tabs>
          <w:tab w:val="left" w:pos="1216"/>
        </w:tabs>
        <w:autoSpaceDE w:val="0"/>
        <w:autoSpaceDN w:val="0"/>
        <w:spacing w:before="120" w:after="0"/>
        <w:ind w:right="105"/>
        <w:jc w:val="both"/>
      </w:pPr>
      <w:r w:rsidRPr="008177F1">
        <w:t xml:space="preserve">The </w:t>
      </w:r>
      <w:r>
        <w:t xml:space="preserve">UN </w:t>
      </w:r>
      <w:r w:rsidRPr="008177F1">
        <w:t xml:space="preserve">Special Rapporteur </w:t>
      </w:r>
      <w:r w:rsidRPr="008177F1">
        <w:rPr>
          <w:bCs/>
          <w:iCs/>
        </w:rPr>
        <w:t>on contemporary forms of racism, racial discrimination, xenophobia and related intolerance in her 2020 report of her visit to the Netherlands</w:t>
      </w:r>
      <w:r w:rsidRPr="008177F1">
        <w:rPr>
          <w:b/>
          <w:i/>
          <w:iCs/>
        </w:rPr>
        <w:t xml:space="preserve"> </w:t>
      </w:r>
      <w:r>
        <w:t>found</w:t>
      </w:r>
      <w:r w:rsidRPr="008177F1">
        <w:t xml:space="preserve"> the treatment of human rights defenders working to combat racism, discrimination and intolerance of great concern. Consultations with antiracism activists highlighted they </w:t>
      </w:r>
      <w:r w:rsidR="008864A7">
        <w:t>were</w:t>
      </w:r>
      <w:r w:rsidRPr="008177F1">
        <w:t xml:space="preserve"> frequently targets of insults, violence and threats, especially by extreme right-wing actors. On some </w:t>
      </w:r>
      <w:r w:rsidR="008864A7">
        <w:t>occasions, local politicians had</w:t>
      </w:r>
      <w:r w:rsidRPr="008177F1">
        <w:t xml:space="preserve"> supported </w:t>
      </w:r>
      <w:r w:rsidR="008864A7">
        <w:t>such</w:t>
      </w:r>
      <w:r w:rsidRPr="008177F1">
        <w:t xml:space="preserve"> targeting. </w:t>
      </w:r>
      <w:r w:rsidRPr="0058355A">
        <w:t>The seeming failure of law enforcement and judicial authorities to extend equal protection of the</w:t>
      </w:r>
      <w:r w:rsidR="0058355A">
        <w:t xml:space="preserve"> law to anti-racism activists was</w:t>
      </w:r>
      <w:r w:rsidRPr="0058355A">
        <w:t xml:space="preserve"> worrying.</w:t>
      </w:r>
      <w:r w:rsidRPr="008177F1">
        <w:t xml:space="preserve"> The Special </w:t>
      </w:r>
      <w:r w:rsidR="0058355A">
        <w:t>Rapporteur especially emphasized</w:t>
      </w:r>
      <w:r w:rsidRPr="008177F1">
        <w:t xml:space="preserve"> the need to ensure effective protection for anti-r</w:t>
      </w:r>
      <w:r>
        <w:t>acism protesters and organizers (</w:t>
      </w:r>
      <w:hyperlink r:id="rId24" w:history="1">
        <w:r w:rsidRPr="008177F1">
          <w:rPr>
            <w:rStyle w:val="Hyperlink"/>
            <w:iCs/>
          </w:rPr>
          <w:t>A/HRC/44/57/Add.2</w:t>
        </w:r>
      </w:hyperlink>
      <w:r>
        <w:t>, para 61, 62, 78b)</w:t>
      </w:r>
      <w:r w:rsidR="0058355A">
        <w:t xml:space="preserve">. </w:t>
      </w:r>
    </w:p>
    <w:p w14:paraId="4809EC7A" w14:textId="77777777" w:rsidR="008864A7" w:rsidRDefault="008864A7" w:rsidP="008864A7">
      <w:pPr>
        <w:widowControl w:val="0"/>
        <w:tabs>
          <w:tab w:val="left" w:pos="1216"/>
        </w:tabs>
        <w:autoSpaceDE w:val="0"/>
        <w:autoSpaceDN w:val="0"/>
        <w:spacing w:before="120" w:after="0"/>
        <w:ind w:right="105"/>
        <w:jc w:val="both"/>
      </w:pPr>
    </w:p>
    <w:p w14:paraId="7C40B057" w14:textId="059A32F7" w:rsidR="008864A7" w:rsidRPr="008864A7" w:rsidRDefault="008864A7" w:rsidP="008864A7">
      <w:pPr>
        <w:widowControl w:val="0"/>
        <w:tabs>
          <w:tab w:val="left" w:pos="1216"/>
        </w:tabs>
        <w:autoSpaceDE w:val="0"/>
        <w:autoSpaceDN w:val="0"/>
        <w:spacing w:before="120" w:after="0"/>
        <w:ind w:right="105"/>
        <w:jc w:val="both"/>
      </w:pPr>
      <w:r w:rsidRPr="008864A7">
        <w:rPr>
          <w:iCs/>
        </w:rPr>
        <w:t xml:space="preserve">In her February 2021 global update to the UN Human Rights Council, the UN High Commissioner for Human Rights expressed concern about measures in several EU countries restricting the work of organizations that protect migrants’ rights and deliver life-saving assistance. She noted that criminal or administrative proceedings had been initiated in </w:t>
      </w:r>
      <w:r w:rsidRPr="008864A7">
        <w:rPr>
          <w:rStyle w:val="Strong"/>
          <w:b w:val="0"/>
        </w:rPr>
        <w:t>the Netherlands</w:t>
      </w:r>
      <w:r w:rsidRPr="008864A7">
        <w:rPr>
          <w:b/>
        </w:rPr>
        <w:t xml:space="preserve"> </w:t>
      </w:r>
      <w:r w:rsidRPr="008864A7">
        <w:rPr>
          <w:iCs/>
        </w:rPr>
        <w:t>against humanitarian actors involved in search and rescue in the Mediterranean (</w:t>
      </w:r>
      <w:hyperlink r:id="rId25" w:history="1">
        <w:r w:rsidR="00CB3228" w:rsidRPr="002739F0">
          <w:rPr>
            <w:rStyle w:val="Hyperlink"/>
          </w:rPr>
          <w:t>https://bit.ly/3qf0tyD</w:t>
        </w:r>
      </w:hyperlink>
      <w:r w:rsidR="00CB3228">
        <w:t>)</w:t>
      </w:r>
      <w:r w:rsidRPr="008864A7">
        <w:rPr>
          <w:iCs/>
        </w:rPr>
        <w:t>.</w:t>
      </w:r>
      <w:r>
        <w:rPr>
          <w:iCs/>
        </w:rPr>
        <w:t xml:space="preserve"> </w:t>
      </w:r>
    </w:p>
    <w:p w14:paraId="47CEA315" w14:textId="0FCA500F" w:rsidR="008177F1" w:rsidRPr="008864A7" w:rsidRDefault="008177F1" w:rsidP="008177F1">
      <w:pPr>
        <w:widowControl w:val="0"/>
        <w:tabs>
          <w:tab w:val="left" w:pos="1216"/>
        </w:tabs>
        <w:autoSpaceDE w:val="0"/>
        <w:autoSpaceDN w:val="0"/>
        <w:spacing w:before="120" w:after="0"/>
        <w:ind w:right="105"/>
        <w:jc w:val="both"/>
        <w:rPr>
          <w:lang w:val="en-GB"/>
        </w:rPr>
      </w:pPr>
    </w:p>
    <w:p w14:paraId="1553D96C" w14:textId="77777777" w:rsidR="0007496B" w:rsidRDefault="0007496B" w:rsidP="0007496B">
      <w:pPr>
        <w:pStyle w:val="Heading2"/>
        <w:numPr>
          <w:ilvl w:val="0"/>
          <w:numId w:val="1"/>
        </w:numPr>
        <w:tabs>
          <w:tab w:val="left" w:pos="545"/>
        </w:tabs>
        <w:ind w:left="544"/>
        <w:jc w:val="both"/>
      </w:pPr>
      <w:r>
        <w:t>Initiatives to foster a rule of law</w:t>
      </w:r>
      <w:r>
        <w:rPr>
          <w:spacing w:val="-6"/>
        </w:rPr>
        <w:t xml:space="preserve"> </w:t>
      </w:r>
      <w:r>
        <w:t>culture</w:t>
      </w:r>
    </w:p>
    <w:p w14:paraId="4CC8BE4E" w14:textId="77777777" w:rsidR="0007496B" w:rsidRDefault="0007496B" w:rsidP="0007496B">
      <w:pPr>
        <w:pStyle w:val="ListParagraph"/>
        <w:widowControl w:val="0"/>
        <w:numPr>
          <w:ilvl w:val="0"/>
          <w:numId w:val="4"/>
        </w:numPr>
        <w:tabs>
          <w:tab w:val="left" w:pos="1217"/>
        </w:tabs>
        <w:autoSpaceDE w:val="0"/>
        <w:autoSpaceDN w:val="0"/>
        <w:spacing w:before="121" w:after="0" w:line="240" w:lineRule="auto"/>
        <w:ind w:right="109" w:hanging="356"/>
        <w:contextualSpacing w:val="0"/>
        <w:jc w:val="both"/>
        <w:rPr>
          <w:i/>
        </w:rPr>
      </w:pPr>
      <w:r>
        <w:rPr>
          <w:i/>
        </w:rPr>
        <w:t>Measures to foster a rule of law culture (e.g. debates in national parliaments on the rule of law, public information campaigns on rule of law issues,</w:t>
      </w:r>
      <w:r>
        <w:rPr>
          <w:i/>
          <w:spacing w:val="-8"/>
        </w:rPr>
        <w:t xml:space="preserve"> </w:t>
      </w:r>
      <w:r>
        <w:rPr>
          <w:i/>
        </w:rPr>
        <w:t>etc.)</w:t>
      </w:r>
    </w:p>
    <w:p w14:paraId="4C398768" w14:textId="77777777" w:rsidR="0007496B" w:rsidRDefault="0007496B" w:rsidP="0007496B">
      <w:pPr>
        <w:pStyle w:val="Heading2"/>
        <w:spacing w:before="118"/>
        <w:ind w:left="117" w:firstLine="0"/>
        <w:jc w:val="both"/>
      </w:pPr>
      <w:r>
        <w:t>Other – please specify</w:t>
      </w:r>
    </w:p>
    <w:p w14:paraId="0E4C6B38" w14:textId="4D687FBC" w:rsidR="0058355A" w:rsidRPr="00BE4314" w:rsidRDefault="00A87D15" w:rsidP="00BE4314">
      <w:pPr>
        <w:jc w:val="both"/>
      </w:pPr>
      <w:r>
        <w:rPr>
          <w:i/>
        </w:rPr>
        <w:br/>
      </w:r>
      <w:r w:rsidR="0058355A" w:rsidRPr="0058355A">
        <w:rPr>
          <w:i/>
        </w:rPr>
        <w:t>Racial Profiling</w:t>
      </w:r>
      <w:r w:rsidR="0058355A">
        <w:t xml:space="preserve"> - </w:t>
      </w:r>
      <w:r w:rsidR="0058355A" w:rsidRPr="0058355A">
        <w:t>In its 2019 concluding observations, the UN Human Rights Committee</w:t>
      </w:r>
      <w:r>
        <w:t>,</w:t>
      </w:r>
      <w:r w:rsidR="0058355A" w:rsidRPr="0058355A">
        <w:t xml:space="preserve"> </w:t>
      </w:r>
      <w:r w:rsidR="0058355A">
        <w:t>w</w:t>
      </w:r>
      <w:r w:rsidR="0058355A" w:rsidRPr="0058355A">
        <w:t xml:space="preserve">hile recognizing the efforts by </w:t>
      </w:r>
      <w:r w:rsidR="00882EC6">
        <w:t xml:space="preserve">the Netherlands </w:t>
      </w:r>
      <w:r w:rsidR="0058355A" w:rsidRPr="0058355A">
        <w:t>to curb racial profiling in law en</w:t>
      </w:r>
      <w:r w:rsidR="00882EC6">
        <w:t xml:space="preserve">forcement, remained </w:t>
      </w:r>
      <w:r w:rsidR="0058355A" w:rsidRPr="0058355A">
        <w:t xml:space="preserve">concerned about the disproportionate use of stop-and search powers by law enforcement officials targeting persons belonging to ethnic minority groups (racial profiling). It </w:t>
      </w:r>
      <w:r>
        <w:t>was</w:t>
      </w:r>
      <w:r w:rsidR="0058355A" w:rsidRPr="0058355A">
        <w:t xml:space="preserve"> particularly concerned about the use of a person’s external appearance, including ethnicity, and of information and communications technology (ICT), such as mobile applications, which may further such practice if applie</w:t>
      </w:r>
      <w:r w:rsidR="00882EC6">
        <w:t xml:space="preserve">d without precaution. </w:t>
      </w:r>
      <w:r w:rsidR="00882EC6" w:rsidRPr="00882EC6">
        <w:t xml:space="preserve">The Committee </w:t>
      </w:r>
      <w:r>
        <w:t>also expressed concern about</w:t>
      </w:r>
      <w:r w:rsidR="0058355A" w:rsidRPr="00882EC6">
        <w:t xml:space="preserve"> the absence of a mechanism to monitor the use of stop-and-search powers by law enforcement officials and the lack of record on the use of such powers.</w:t>
      </w:r>
      <w:r w:rsidR="00882EC6" w:rsidRPr="00882EC6">
        <w:t xml:space="preserve"> </w:t>
      </w:r>
      <w:r w:rsidR="00882EC6">
        <w:t>The Committee recommended that the Netherlands c</w:t>
      </w:r>
      <w:r w:rsidR="00882EC6" w:rsidRPr="0058355A">
        <w:t xml:space="preserve">ontinue its efforts to provide all law enforcement personnel with effective training and sensitization in order to curb racial profiling, including the use of ICT in </w:t>
      </w:r>
      <w:r w:rsidR="00882EC6">
        <w:t xml:space="preserve">stop-and-search operations and </w:t>
      </w:r>
      <w:r w:rsidR="00882EC6" w:rsidRPr="00882EC6">
        <w:t>set up a mechanism to monitor and collect data on the use of stop-and search powe</w:t>
      </w:r>
      <w:r w:rsidR="00882EC6">
        <w:t>rs by law enforcement officials (</w:t>
      </w:r>
      <w:hyperlink r:id="rId26" w:history="1">
        <w:r w:rsidR="00882EC6" w:rsidRPr="00882EC6">
          <w:rPr>
            <w:rStyle w:val="Hyperlink"/>
          </w:rPr>
          <w:t>CCPR/C/NLD/CO/5</w:t>
        </w:r>
      </w:hyperlink>
      <w:r w:rsidR="00882EC6">
        <w:t xml:space="preserve">, para, 48, 49). </w:t>
      </w:r>
    </w:p>
    <w:p w14:paraId="35A27B99" w14:textId="3DD153B5" w:rsidR="00A6519F" w:rsidRDefault="00BE4314" w:rsidP="00BE4314">
      <w:pPr>
        <w:jc w:val="both"/>
      </w:pPr>
      <w:r w:rsidRPr="00BE4314">
        <w:rPr>
          <w:i/>
        </w:rPr>
        <w:t>The Intelligence and Security Services Act 2017</w:t>
      </w:r>
      <w:r w:rsidRPr="00BE4314">
        <w:t xml:space="preserve"> </w:t>
      </w:r>
      <w:r>
        <w:t xml:space="preserve">- </w:t>
      </w:r>
      <w:r w:rsidRPr="00BE4314">
        <w:t xml:space="preserve">In its 2019 concluding observations, the UN Human Rights Committee </w:t>
      </w:r>
      <w:r>
        <w:t xml:space="preserve">was </w:t>
      </w:r>
      <w:r w:rsidR="0058355A" w:rsidRPr="0058355A">
        <w:t>concerned about the Intelligence and Security Services Act 2017</w:t>
      </w:r>
      <w:r>
        <w:t xml:space="preserve">. The Committee was </w:t>
      </w:r>
      <w:r w:rsidR="0058355A" w:rsidRPr="0058355A">
        <w:t>also concerned by the limited practical possibilities for complaining, in the absence of a comprehensive notification regime, to the Review Committee on the Intelligence and S</w:t>
      </w:r>
      <w:r>
        <w:t xml:space="preserve">ecurity Services (art. 17). The Committee recommended to </w:t>
      </w:r>
      <w:r w:rsidR="0058355A" w:rsidRPr="0058355A">
        <w:t xml:space="preserve">review the Act with </w:t>
      </w:r>
      <w:r>
        <w:t xml:space="preserve">a view to </w:t>
      </w:r>
      <w:r w:rsidR="0058355A" w:rsidRPr="0058355A">
        <w:t>strengthen the independence and effectiveness of the two new bodies established by the Act, the Evaluation Committee on the Use of Powers and the Review Committee on the Int</w:t>
      </w:r>
      <w:r>
        <w:t>elligence and Security Services (</w:t>
      </w:r>
      <w:hyperlink r:id="rId27" w:history="1">
        <w:r w:rsidRPr="00BE4314">
          <w:rPr>
            <w:rStyle w:val="Hyperlink"/>
          </w:rPr>
          <w:t>CCPR/C/NLD/CO/5</w:t>
        </w:r>
      </w:hyperlink>
      <w:r w:rsidRPr="00BE4314">
        <w:t xml:space="preserve">, </w:t>
      </w:r>
      <w:r>
        <w:t>para, 54,</w:t>
      </w:r>
      <w:r w:rsidR="00E56C53">
        <w:t xml:space="preserve"> </w:t>
      </w:r>
      <w:r>
        <w:t>55)</w:t>
      </w:r>
    </w:p>
    <w:sectPr w:rsidR="00A6519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269F8B" w14:textId="77777777" w:rsidR="009D2228" w:rsidRDefault="009D2228" w:rsidP="0007496B">
      <w:pPr>
        <w:spacing w:after="0" w:line="240" w:lineRule="auto"/>
      </w:pPr>
      <w:r>
        <w:separator/>
      </w:r>
    </w:p>
  </w:endnote>
  <w:endnote w:type="continuationSeparator" w:id="0">
    <w:p w14:paraId="1DF6EC64" w14:textId="77777777" w:rsidR="009D2228" w:rsidRDefault="009D2228" w:rsidP="000749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rlito">
    <w:altName w:val="Calibri"/>
    <w:charset w:val="00"/>
    <w:family w:val="swiss"/>
    <w:pitch w:val="variable"/>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A45CF4" w14:textId="77777777" w:rsidR="009D2228" w:rsidRDefault="009D2228" w:rsidP="0007496B">
      <w:pPr>
        <w:spacing w:after="0" w:line="240" w:lineRule="auto"/>
      </w:pPr>
      <w:r>
        <w:separator/>
      </w:r>
    </w:p>
  </w:footnote>
  <w:footnote w:type="continuationSeparator" w:id="0">
    <w:p w14:paraId="6BFB6A11" w14:textId="77777777" w:rsidR="009D2228" w:rsidRDefault="009D2228" w:rsidP="0007496B">
      <w:pPr>
        <w:spacing w:after="0" w:line="240" w:lineRule="auto"/>
      </w:pPr>
      <w:r>
        <w:continuationSeparator/>
      </w:r>
    </w:p>
  </w:footnote>
  <w:footnote w:id="1">
    <w:p w14:paraId="560C8F26" w14:textId="77777777" w:rsidR="0007496B" w:rsidRPr="00525DD2" w:rsidRDefault="0007496B" w:rsidP="0007496B">
      <w:pPr>
        <w:tabs>
          <w:tab w:val="left" w:pos="399"/>
        </w:tabs>
        <w:spacing w:before="78" w:after="0"/>
        <w:rPr>
          <w:sz w:val="18"/>
        </w:rPr>
      </w:pPr>
      <w:r>
        <w:rPr>
          <w:rStyle w:val="FootnoteReference"/>
        </w:rPr>
        <w:footnoteRef/>
      </w:r>
      <w:r>
        <w:t xml:space="preserve"> </w:t>
      </w:r>
      <w:r>
        <w:rPr>
          <w:sz w:val="18"/>
        </w:rPr>
        <w:t>The reference to ‘judges’ concerns judges at all level and types of courts as well as judges at constitutional</w:t>
      </w:r>
      <w:r>
        <w:rPr>
          <w:spacing w:val="-27"/>
          <w:sz w:val="18"/>
        </w:rPr>
        <w:t xml:space="preserve"> </w:t>
      </w:r>
      <w:r>
        <w:rPr>
          <w:sz w:val="18"/>
        </w:rPr>
        <w:t>courts.</w:t>
      </w:r>
    </w:p>
  </w:footnote>
  <w:footnote w:id="2">
    <w:p w14:paraId="3ADC9400" w14:textId="77777777" w:rsidR="0007496B" w:rsidRDefault="0007496B" w:rsidP="0007496B">
      <w:pPr>
        <w:pStyle w:val="FootnoteText"/>
      </w:pPr>
      <w:r>
        <w:rPr>
          <w:rStyle w:val="FootnoteReference"/>
        </w:rPr>
        <w:footnoteRef/>
      </w:r>
      <w:r>
        <w:t xml:space="preserve"> </w:t>
      </w:r>
      <w:r>
        <w:rPr>
          <w:sz w:val="18"/>
        </w:rPr>
        <w:t>Under this topic, Member States are not required to give statistical information but should provide input on the type of</w:t>
      </w:r>
      <w:bookmarkStart w:id="3" w:name="_bookmark2"/>
      <w:bookmarkEnd w:id="3"/>
      <w:r>
        <w:rPr>
          <w:sz w:val="18"/>
        </w:rPr>
        <w:t xml:space="preserve"> information outlined under section</w:t>
      </w:r>
      <w:r>
        <w:rPr>
          <w:spacing w:val="-5"/>
          <w:sz w:val="18"/>
        </w:rPr>
        <w:t xml:space="preserve"> </w:t>
      </w:r>
      <w:r>
        <w:rPr>
          <w:sz w:val="18"/>
        </w:rPr>
        <w:t>2.</w:t>
      </w:r>
    </w:p>
  </w:footnote>
  <w:footnote w:id="3">
    <w:p w14:paraId="3B268CC2" w14:textId="77777777" w:rsidR="0007496B" w:rsidRDefault="0007496B" w:rsidP="0007496B">
      <w:pPr>
        <w:pStyle w:val="FootnoteText"/>
      </w:pPr>
      <w:r>
        <w:rPr>
          <w:rStyle w:val="FootnoteReference"/>
        </w:rPr>
        <w:footnoteRef/>
      </w:r>
      <w:r>
        <w:t xml:space="preserve"> </w:t>
      </w:r>
      <w:r>
        <w:rPr>
          <w:sz w:val="18"/>
        </w:rPr>
        <w:t>Material resources refer e.g. to court buildings and other</w:t>
      </w:r>
      <w:r>
        <w:rPr>
          <w:spacing w:val="-8"/>
          <w:sz w:val="18"/>
        </w:rPr>
        <w:t xml:space="preserve"> </w:t>
      </w:r>
      <w:r>
        <w:rPr>
          <w:sz w:val="18"/>
        </w:rPr>
        <w:t>facilities</w:t>
      </w:r>
    </w:p>
  </w:footnote>
  <w:footnote w:id="4">
    <w:p w14:paraId="50F2B043" w14:textId="77777777" w:rsidR="0007496B" w:rsidRDefault="0007496B" w:rsidP="0007496B">
      <w:pPr>
        <w:pStyle w:val="FootnoteText"/>
      </w:pPr>
      <w:r>
        <w:rPr>
          <w:rStyle w:val="FootnoteReference"/>
        </w:rPr>
        <w:footnoteRef/>
      </w:r>
      <w:r>
        <w:t xml:space="preserve"> </w:t>
      </w:r>
      <w:r>
        <w:rPr>
          <w:sz w:val="18"/>
        </w:rPr>
        <w:t xml:space="preserve">Factual information presented in Commission Staff Working Document of 2 December 2020, </w:t>
      </w:r>
      <w:proofErr w:type="gramStart"/>
      <w:r>
        <w:rPr>
          <w:sz w:val="18"/>
        </w:rPr>
        <w:t>SWD(</w:t>
      </w:r>
      <w:proofErr w:type="gramEnd"/>
      <w:r>
        <w:rPr>
          <w:sz w:val="18"/>
        </w:rPr>
        <w:t xml:space="preserve">2020) 540 final, accompanying the Communication on </w:t>
      </w:r>
      <w:proofErr w:type="spellStart"/>
      <w:r>
        <w:rPr>
          <w:sz w:val="18"/>
        </w:rPr>
        <w:t>Digitalisation</w:t>
      </w:r>
      <w:proofErr w:type="spellEnd"/>
      <w:r>
        <w:rPr>
          <w:sz w:val="18"/>
        </w:rPr>
        <w:t xml:space="preserve"> of justice in the European Union, COM(2020) 710 final, does not need to be repeated</w:t>
      </w:r>
    </w:p>
  </w:footnote>
  <w:footnote w:id="5">
    <w:p w14:paraId="0960E69D" w14:textId="77777777" w:rsidR="0007496B" w:rsidRDefault="0007496B" w:rsidP="0007496B">
      <w:pPr>
        <w:pStyle w:val="FootnoteText"/>
      </w:pPr>
      <w:r>
        <w:rPr>
          <w:rStyle w:val="FootnoteReference"/>
        </w:rPr>
        <w:footnoteRef/>
      </w:r>
      <w:r>
        <w:t xml:space="preserve"> </w:t>
      </w:r>
      <w:r>
        <w:rPr>
          <w:sz w:val="18"/>
        </w:rPr>
        <w:t>Under this topic, Member States are not required to give statistical information but should provide input on the type of information outlined under section 2</w:t>
      </w:r>
    </w:p>
  </w:footnote>
  <w:footnote w:id="6">
    <w:p w14:paraId="657BDA91" w14:textId="77777777" w:rsidR="0007496B" w:rsidRDefault="0007496B" w:rsidP="0007496B">
      <w:pPr>
        <w:pStyle w:val="FootnoteText"/>
      </w:pPr>
      <w:r>
        <w:rPr>
          <w:rStyle w:val="FootnoteReference"/>
        </w:rPr>
        <w:footnoteRef/>
      </w:r>
      <w:r>
        <w:t xml:space="preserve"> </w:t>
      </w:r>
      <w:r>
        <w:rPr>
          <w:sz w:val="18"/>
        </w:rPr>
        <w:t>Cf. Article 30 of Directive</w:t>
      </w:r>
      <w:r>
        <w:rPr>
          <w:spacing w:val="-3"/>
          <w:sz w:val="18"/>
        </w:rPr>
        <w:t xml:space="preserve"> </w:t>
      </w:r>
      <w:r>
        <w:rPr>
          <w:sz w:val="18"/>
        </w:rPr>
        <w:t>2018/1808.</w:t>
      </w:r>
    </w:p>
  </w:footnote>
  <w:footnote w:id="7">
    <w:p w14:paraId="5B7CDC18" w14:textId="77777777" w:rsidR="0007496B" w:rsidRDefault="0007496B" w:rsidP="0007496B">
      <w:pPr>
        <w:pStyle w:val="FootnoteText"/>
      </w:pPr>
      <w:r>
        <w:rPr>
          <w:rStyle w:val="FootnoteReference"/>
        </w:rPr>
        <w:footnoteRef/>
      </w:r>
      <w:r>
        <w:t xml:space="preserve"> </w:t>
      </w:r>
      <w:r>
        <w:rPr>
          <w:sz w:val="18"/>
        </w:rPr>
        <w:t xml:space="preserve">Cf. the website of the European Court of Auditors: </w:t>
      </w:r>
      <w:hyperlink r:id="rId1">
        <w:r>
          <w:rPr>
            <w:color w:val="0563C1"/>
            <w:sz w:val="18"/>
            <w:u w:val="single" w:color="0563C1"/>
          </w:rPr>
          <w:t>https://www.eca.europa.eu/en/Pages/SupremeAuditInstitutions.aspx#</w:t>
        </w:r>
      </w:hyperlink>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D11E2"/>
    <w:multiLevelType w:val="hybridMultilevel"/>
    <w:tmpl w:val="8E942834"/>
    <w:lvl w:ilvl="0" w:tplc="96666FE4">
      <w:start w:val="11"/>
      <w:numFmt w:val="decimal"/>
      <w:lvlText w:val="%1."/>
      <w:lvlJc w:val="left"/>
      <w:pPr>
        <w:ind w:left="1216" w:hanging="361"/>
      </w:pPr>
      <w:rPr>
        <w:rFonts w:ascii="Carlito" w:eastAsia="Carlito" w:hAnsi="Carlito" w:cs="Carlito" w:hint="default"/>
        <w:i/>
        <w:w w:val="100"/>
        <w:sz w:val="22"/>
        <w:szCs w:val="22"/>
        <w:lang w:val="en-US" w:eastAsia="en-US" w:bidi="ar-SA"/>
      </w:rPr>
    </w:lvl>
    <w:lvl w:ilvl="1" w:tplc="083A08A8">
      <w:numFmt w:val="bullet"/>
      <w:lvlText w:val="-"/>
      <w:lvlJc w:val="left"/>
      <w:pPr>
        <w:ind w:left="1575" w:hanging="360"/>
      </w:pPr>
      <w:rPr>
        <w:rFonts w:ascii="Arial" w:eastAsia="Arial" w:hAnsi="Arial" w:cs="Arial" w:hint="default"/>
        <w:w w:val="100"/>
        <w:sz w:val="22"/>
        <w:szCs w:val="22"/>
        <w:lang w:val="en-US" w:eastAsia="en-US" w:bidi="ar-SA"/>
      </w:rPr>
    </w:lvl>
    <w:lvl w:ilvl="2" w:tplc="6E0E7B2C">
      <w:numFmt w:val="bullet"/>
      <w:lvlText w:val="•"/>
      <w:lvlJc w:val="left"/>
      <w:pPr>
        <w:ind w:left="2442" w:hanging="360"/>
      </w:pPr>
      <w:rPr>
        <w:rFonts w:hint="default"/>
        <w:lang w:val="en-US" w:eastAsia="en-US" w:bidi="ar-SA"/>
      </w:rPr>
    </w:lvl>
    <w:lvl w:ilvl="3" w:tplc="A92472CC">
      <w:numFmt w:val="bullet"/>
      <w:lvlText w:val="•"/>
      <w:lvlJc w:val="left"/>
      <w:pPr>
        <w:ind w:left="3304" w:hanging="360"/>
      </w:pPr>
      <w:rPr>
        <w:rFonts w:hint="default"/>
        <w:lang w:val="en-US" w:eastAsia="en-US" w:bidi="ar-SA"/>
      </w:rPr>
    </w:lvl>
    <w:lvl w:ilvl="4" w:tplc="93C8C310">
      <w:numFmt w:val="bullet"/>
      <w:lvlText w:val="•"/>
      <w:lvlJc w:val="left"/>
      <w:pPr>
        <w:ind w:left="4166" w:hanging="360"/>
      </w:pPr>
      <w:rPr>
        <w:rFonts w:hint="default"/>
        <w:lang w:val="en-US" w:eastAsia="en-US" w:bidi="ar-SA"/>
      </w:rPr>
    </w:lvl>
    <w:lvl w:ilvl="5" w:tplc="E6FE1D9E">
      <w:numFmt w:val="bullet"/>
      <w:lvlText w:val="•"/>
      <w:lvlJc w:val="left"/>
      <w:pPr>
        <w:ind w:left="5028" w:hanging="360"/>
      </w:pPr>
      <w:rPr>
        <w:rFonts w:hint="default"/>
        <w:lang w:val="en-US" w:eastAsia="en-US" w:bidi="ar-SA"/>
      </w:rPr>
    </w:lvl>
    <w:lvl w:ilvl="6" w:tplc="A62C5E08">
      <w:numFmt w:val="bullet"/>
      <w:lvlText w:val="•"/>
      <w:lvlJc w:val="left"/>
      <w:pPr>
        <w:ind w:left="5890" w:hanging="360"/>
      </w:pPr>
      <w:rPr>
        <w:rFonts w:hint="default"/>
        <w:lang w:val="en-US" w:eastAsia="en-US" w:bidi="ar-SA"/>
      </w:rPr>
    </w:lvl>
    <w:lvl w:ilvl="7" w:tplc="E200C2BE">
      <w:numFmt w:val="bullet"/>
      <w:lvlText w:val="•"/>
      <w:lvlJc w:val="left"/>
      <w:pPr>
        <w:ind w:left="6752" w:hanging="360"/>
      </w:pPr>
      <w:rPr>
        <w:rFonts w:hint="default"/>
        <w:lang w:val="en-US" w:eastAsia="en-US" w:bidi="ar-SA"/>
      </w:rPr>
    </w:lvl>
    <w:lvl w:ilvl="8" w:tplc="65666046">
      <w:numFmt w:val="bullet"/>
      <w:lvlText w:val="•"/>
      <w:lvlJc w:val="left"/>
      <w:pPr>
        <w:ind w:left="7614" w:hanging="360"/>
      </w:pPr>
      <w:rPr>
        <w:rFonts w:hint="default"/>
        <w:lang w:val="en-US" w:eastAsia="en-US" w:bidi="ar-SA"/>
      </w:rPr>
    </w:lvl>
  </w:abstractNum>
  <w:abstractNum w:abstractNumId="1" w15:restartNumberingAfterBreak="0">
    <w:nsid w:val="022E3D85"/>
    <w:multiLevelType w:val="hybridMultilevel"/>
    <w:tmpl w:val="BE822F10"/>
    <w:lvl w:ilvl="0" w:tplc="03124208">
      <w:start w:val="1"/>
      <w:numFmt w:val="upperRoman"/>
      <w:lvlText w:val="%1."/>
      <w:lvlJc w:val="left"/>
      <w:pPr>
        <w:ind w:left="464" w:hanging="348"/>
      </w:pPr>
      <w:rPr>
        <w:rFonts w:ascii="Carlito" w:eastAsia="Carlito" w:hAnsi="Carlito" w:cs="Carlito" w:hint="default"/>
        <w:b/>
        <w:bCs/>
        <w:spacing w:val="0"/>
        <w:w w:val="100"/>
        <w:sz w:val="22"/>
        <w:szCs w:val="22"/>
        <w:lang w:val="en-US" w:eastAsia="en-US" w:bidi="ar-SA"/>
      </w:rPr>
    </w:lvl>
    <w:lvl w:ilvl="1" w:tplc="B54EE138">
      <w:numFmt w:val="bullet"/>
      <w:lvlText w:val="•"/>
      <w:lvlJc w:val="left"/>
      <w:pPr>
        <w:ind w:left="1347" w:hanging="348"/>
      </w:pPr>
      <w:rPr>
        <w:rFonts w:hint="default"/>
        <w:lang w:val="en-US" w:eastAsia="en-US" w:bidi="ar-SA"/>
      </w:rPr>
    </w:lvl>
    <w:lvl w:ilvl="2" w:tplc="E53A8D22">
      <w:numFmt w:val="bullet"/>
      <w:lvlText w:val="•"/>
      <w:lvlJc w:val="left"/>
      <w:pPr>
        <w:ind w:left="2235" w:hanging="348"/>
      </w:pPr>
      <w:rPr>
        <w:rFonts w:hint="default"/>
        <w:lang w:val="en-US" w:eastAsia="en-US" w:bidi="ar-SA"/>
      </w:rPr>
    </w:lvl>
    <w:lvl w:ilvl="3" w:tplc="D3AE651C">
      <w:numFmt w:val="bullet"/>
      <w:lvlText w:val="•"/>
      <w:lvlJc w:val="left"/>
      <w:pPr>
        <w:ind w:left="3123" w:hanging="348"/>
      </w:pPr>
      <w:rPr>
        <w:rFonts w:hint="default"/>
        <w:lang w:val="en-US" w:eastAsia="en-US" w:bidi="ar-SA"/>
      </w:rPr>
    </w:lvl>
    <w:lvl w:ilvl="4" w:tplc="3BBAC48E">
      <w:numFmt w:val="bullet"/>
      <w:lvlText w:val="•"/>
      <w:lvlJc w:val="left"/>
      <w:pPr>
        <w:ind w:left="4011" w:hanging="348"/>
      </w:pPr>
      <w:rPr>
        <w:rFonts w:hint="default"/>
        <w:lang w:val="en-US" w:eastAsia="en-US" w:bidi="ar-SA"/>
      </w:rPr>
    </w:lvl>
    <w:lvl w:ilvl="5" w:tplc="1460F44C">
      <w:numFmt w:val="bullet"/>
      <w:lvlText w:val="•"/>
      <w:lvlJc w:val="left"/>
      <w:pPr>
        <w:ind w:left="4899" w:hanging="348"/>
      </w:pPr>
      <w:rPr>
        <w:rFonts w:hint="default"/>
        <w:lang w:val="en-US" w:eastAsia="en-US" w:bidi="ar-SA"/>
      </w:rPr>
    </w:lvl>
    <w:lvl w:ilvl="6" w:tplc="C8F87BF6">
      <w:numFmt w:val="bullet"/>
      <w:lvlText w:val="•"/>
      <w:lvlJc w:val="left"/>
      <w:pPr>
        <w:ind w:left="5787" w:hanging="348"/>
      </w:pPr>
      <w:rPr>
        <w:rFonts w:hint="default"/>
        <w:lang w:val="en-US" w:eastAsia="en-US" w:bidi="ar-SA"/>
      </w:rPr>
    </w:lvl>
    <w:lvl w:ilvl="7" w:tplc="2D48B25A">
      <w:numFmt w:val="bullet"/>
      <w:lvlText w:val="•"/>
      <w:lvlJc w:val="left"/>
      <w:pPr>
        <w:ind w:left="6675" w:hanging="348"/>
      </w:pPr>
      <w:rPr>
        <w:rFonts w:hint="default"/>
        <w:lang w:val="en-US" w:eastAsia="en-US" w:bidi="ar-SA"/>
      </w:rPr>
    </w:lvl>
    <w:lvl w:ilvl="8" w:tplc="B6FC5796">
      <w:numFmt w:val="bullet"/>
      <w:lvlText w:val="•"/>
      <w:lvlJc w:val="left"/>
      <w:pPr>
        <w:ind w:left="7563" w:hanging="348"/>
      </w:pPr>
      <w:rPr>
        <w:rFonts w:hint="default"/>
        <w:lang w:val="en-US" w:eastAsia="en-US" w:bidi="ar-SA"/>
      </w:rPr>
    </w:lvl>
  </w:abstractNum>
  <w:abstractNum w:abstractNumId="2" w15:restartNumberingAfterBreak="0">
    <w:nsid w:val="166C7356"/>
    <w:multiLevelType w:val="hybridMultilevel"/>
    <w:tmpl w:val="528674F4"/>
    <w:lvl w:ilvl="0" w:tplc="1272FBF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E473478"/>
    <w:multiLevelType w:val="hybridMultilevel"/>
    <w:tmpl w:val="18363370"/>
    <w:lvl w:ilvl="0" w:tplc="C01C8A2E">
      <w:start w:val="1"/>
      <w:numFmt w:val="upperLetter"/>
      <w:lvlText w:val="%1."/>
      <w:lvlJc w:val="left"/>
      <w:pPr>
        <w:ind w:left="543" w:hanging="428"/>
      </w:pPr>
      <w:rPr>
        <w:rFonts w:ascii="Carlito" w:eastAsia="Carlito" w:hAnsi="Carlito" w:cs="Carlito" w:hint="default"/>
        <w:b/>
        <w:bCs/>
        <w:i/>
        <w:w w:val="100"/>
        <w:sz w:val="22"/>
        <w:szCs w:val="22"/>
        <w:lang w:val="en-US" w:eastAsia="en-US" w:bidi="ar-SA"/>
      </w:rPr>
    </w:lvl>
    <w:lvl w:ilvl="1" w:tplc="88048418">
      <w:numFmt w:val="bullet"/>
      <w:lvlText w:val="•"/>
      <w:lvlJc w:val="left"/>
      <w:pPr>
        <w:ind w:left="1419" w:hanging="428"/>
      </w:pPr>
      <w:rPr>
        <w:rFonts w:hint="default"/>
        <w:lang w:val="en-US" w:eastAsia="en-US" w:bidi="ar-SA"/>
      </w:rPr>
    </w:lvl>
    <w:lvl w:ilvl="2" w:tplc="293E9DD4">
      <w:numFmt w:val="bullet"/>
      <w:lvlText w:val="•"/>
      <w:lvlJc w:val="left"/>
      <w:pPr>
        <w:ind w:left="2299" w:hanging="428"/>
      </w:pPr>
      <w:rPr>
        <w:rFonts w:hint="default"/>
        <w:lang w:val="en-US" w:eastAsia="en-US" w:bidi="ar-SA"/>
      </w:rPr>
    </w:lvl>
    <w:lvl w:ilvl="3" w:tplc="5E401BA0">
      <w:numFmt w:val="bullet"/>
      <w:lvlText w:val="•"/>
      <w:lvlJc w:val="left"/>
      <w:pPr>
        <w:ind w:left="3179" w:hanging="428"/>
      </w:pPr>
      <w:rPr>
        <w:rFonts w:hint="default"/>
        <w:lang w:val="en-US" w:eastAsia="en-US" w:bidi="ar-SA"/>
      </w:rPr>
    </w:lvl>
    <w:lvl w:ilvl="4" w:tplc="143ECEEA">
      <w:numFmt w:val="bullet"/>
      <w:lvlText w:val="•"/>
      <w:lvlJc w:val="left"/>
      <w:pPr>
        <w:ind w:left="4059" w:hanging="428"/>
      </w:pPr>
      <w:rPr>
        <w:rFonts w:hint="default"/>
        <w:lang w:val="en-US" w:eastAsia="en-US" w:bidi="ar-SA"/>
      </w:rPr>
    </w:lvl>
    <w:lvl w:ilvl="5" w:tplc="963CFEC6">
      <w:numFmt w:val="bullet"/>
      <w:lvlText w:val="•"/>
      <w:lvlJc w:val="left"/>
      <w:pPr>
        <w:ind w:left="4939" w:hanging="428"/>
      </w:pPr>
      <w:rPr>
        <w:rFonts w:hint="default"/>
        <w:lang w:val="en-US" w:eastAsia="en-US" w:bidi="ar-SA"/>
      </w:rPr>
    </w:lvl>
    <w:lvl w:ilvl="6" w:tplc="BBDC8F96">
      <w:numFmt w:val="bullet"/>
      <w:lvlText w:val="•"/>
      <w:lvlJc w:val="left"/>
      <w:pPr>
        <w:ind w:left="5819" w:hanging="428"/>
      </w:pPr>
      <w:rPr>
        <w:rFonts w:hint="default"/>
        <w:lang w:val="en-US" w:eastAsia="en-US" w:bidi="ar-SA"/>
      </w:rPr>
    </w:lvl>
    <w:lvl w:ilvl="7" w:tplc="0D4C8B74">
      <w:numFmt w:val="bullet"/>
      <w:lvlText w:val="•"/>
      <w:lvlJc w:val="left"/>
      <w:pPr>
        <w:ind w:left="6699" w:hanging="428"/>
      </w:pPr>
      <w:rPr>
        <w:rFonts w:hint="default"/>
        <w:lang w:val="en-US" w:eastAsia="en-US" w:bidi="ar-SA"/>
      </w:rPr>
    </w:lvl>
    <w:lvl w:ilvl="8" w:tplc="5060DCA6">
      <w:numFmt w:val="bullet"/>
      <w:lvlText w:val="•"/>
      <w:lvlJc w:val="left"/>
      <w:pPr>
        <w:ind w:left="7579" w:hanging="428"/>
      </w:pPr>
      <w:rPr>
        <w:rFonts w:hint="default"/>
        <w:lang w:val="en-US" w:eastAsia="en-US" w:bidi="ar-SA"/>
      </w:rPr>
    </w:lvl>
  </w:abstractNum>
  <w:abstractNum w:abstractNumId="4" w15:restartNumberingAfterBreak="0">
    <w:nsid w:val="206A46E3"/>
    <w:multiLevelType w:val="hybridMultilevel"/>
    <w:tmpl w:val="BAD86488"/>
    <w:lvl w:ilvl="0" w:tplc="E35022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163DC8"/>
    <w:multiLevelType w:val="hybridMultilevel"/>
    <w:tmpl w:val="AF000096"/>
    <w:lvl w:ilvl="0" w:tplc="D7EE4EBC">
      <w:start w:val="1"/>
      <w:numFmt w:val="upperLetter"/>
      <w:lvlText w:val="%1."/>
      <w:lvlJc w:val="left"/>
      <w:pPr>
        <w:ind w:left="544" w:hanging="428"/>
      </w:pPr>
      <w:rPr>
        <w:rFonts w:ascii="Carlito" w:eastAsia="Carlito" w:hAnsi="Carlito" w:cs="Carlito" w:hint="default"/>
        <w:b/>
        <w:bCs/>
        <w:i/>
        <w:w w:val="100"/>
        <w:sz w:val="22"/>
        <w:szCs w:val="22"/>
        <w:lang w:val="en-US" w:eastAsia="en-US" w:bidi="ar-SA"/>
      </w:rPr>
    </w:lvl>
    <w:lvl w:ilvl="1" w:tplc="FA040ACA">
      <w:numFmt w:val="bullet"/>
      <w:lvlText w:val="•"/>
      <w:lvlJc w:val="left"/>
      <w:pPr>
        <w:ind w:left="1419" w:hanging="428"/>
      </w:pPr>
      <w:rPr>
        <w:rFonts w:hint="default"/>
        <w:lang w:val="en-US" w:eastAsia="en-US" w:bidi="ar-SA"/>
      </w:rPr>
    </w:lvl>
    <w:lvl w:ilvl="2" w:tplc="5F860EA2">
      <w:numFmt w:val="bullet"/>
      <w:lvlText w:val="•"/>
      <w:lvlJc w:val="left"/>
      <w:pPr>
        <w:ind w:left="2299" w:hanging="428"/>
      </w:pPr>
      <w:rPr>
        <w:rFonts w:hint="default"/>
        <w:lang w:val="en-US" w:eastAsia="en-US" w:bidi="ar-SA"/>
      </w:rPr>
    </w:lvl>
    <w:lvl w:ilvl="3" w:tplc="AB28B02A">
      <w:numFmt w:val="bullet"/>
      <w:lvlText w:val="•"/>
      <w:lvlJc w:val="left"/>
      <w:pPr>
        <w:ind w:left="3179" w:hanging="428"/>
      </w:pPr>
      <w:rPr>
        <w:rFonts w:hint="default"/>
        <w:lang w:val="en-US" w:eastAsia="en-US" w:bidi="ar-SA"/>
      </w:rPr>
    </w:lvl>
    <w:lvl w:ilvl="4" w:tplc="C968360A">
      <w:numFmt w:val="bullet"/>
      <w:lvlText w:val="•"/>
      <w:lvlJc w:val="left"/>
      <w:pPr>
        <w:ind w:left="4059" w:hanging="428"/>
      </w:pPr>
      <w:rPr>
        <w:rFonts w:hint="default"/>
        <w:lang w:val="en-US" w:eastAsia="en-US" w:bidi="ar-SA"/>
      </w:rPr>
    </w:lvl>
    <w:lvl w:ilvl="5" w:tplc="967A4CE6">
      <w:numFmt w:val="bullet"/>
      <w:lvlText w:val="•"/>
      <w:lvlJc w:val="left"/>
      <w:pPr>
        <w:ind w:left="4939" w:hanging="428"/>
      </w:pPr>
      <w:rPr>
        <w:rFonts w:hint="default"/>
        <w:lang w:val="en-US" w:eastAsia="en-US" w:bidi="ar-SA"/>
      </w:rPr>
    </w:lvl>
    <w:lvl w:ilvl="6" w:tplc="8CBCB18C">
      <w:numFmt w:val="bullet"/>
      <w:lvlText w:val="•"/>
      <w:lvlJc w:val="left"/>
      <w:pPr>
        <w:ind w:left="5819" w:hanging="428"/>
      </w:pPr>
      <w:rPr>
        <w:rFonts w:hint="default"/>
        <w:lang w:val="en-US" w:eastAsia="en-US" w:bidi="ar-SA"/>
      </w:rPr>
    </w:lvl>
    <w:lvl w:ilvl="7" w:tplc="FAC01978">
      <w:numFmt w:val="bullet"/>
      <w:lvlText w:val="•"/>
      <w:lvlJc w:val="left"/>
      <w:pPr>
        <w:ind w:left="6699" w:hanging="428"/>
      </w:pPr>
      <w:rPr>
        <w:rFonts w:hint="default"/>
        <w:lang w:val="en-US" w:eastAsia="en-US" w:bidi="ar-SA"/>
      </w:rPr>
    </w:lvl>
    <w:lvl w:ilvl="8" w:tplc="60AC028C">
      <w:numFmt w:val="bullet"/>
      <w:lvlText w:val="•"/>
      <w:lvlJc w:val="left"/>
      <w:pPr>
        <w:ind w:left="7579" w:hanging="428"/>
      </w:pPr>
      <w:rPr>
        <w:rFonts w:hint="default"/>
        <w:lang w:val="en-US" w:eastAsia="en-US" w:bidi="ar-SA"/>
      </w:rPr>
    </w:lvl>
  </w:abstractNum>
  <w:abstractNum w:abstractNumId="6" w15:restartNumberingAfterBreak="0">
    <w:nsid w:val="2C3A6C55"/>
    <w:multiLevelType w:val="hybridMultilevel"/>
    <w:tmpl w:val="9AAEB278"/>
    <w:lvl w:ilvl="0" w:tplc="3072FADC">
      <w:start w:val="1"/>
      <w:numFmt w:val="upperLetter"/>
      <w:lvlText w:val="%1."/>
      <w:lvlJc w:val="left"/>
      <w:pPr>
        <w:ind w:left="544" w:hanging="428"/>
      </w:pPr>
      <w:rPr>
        <w:rFonts w:ascii="Carlito" w:eastAsia="Carlito" w:hAnsi="Carlito" w:cs="Carlito" w:hint="default"/>
        <w:b/>
        <w:bCs/>
        <w:i/>
        <w:w w:val="100"/>
        <w:sz w:val="22"/>
        <w:szCs w:val="22"/>
        <w:lang w:val="en-US" w:eastAsia="en-US" w:bidi="ar-SA"/>
      </w:rPr>
    </w:lvl>
    <w:lvl w:ilvl="1" w:tplc="5D480DEA">
      <w:numFmt w:val="bullet"/>
      <w:lvlText w:val="•"/>
      <w:lvlJc w:val="left"/>
      <w:pPr>
        <w:ind w:left="1419" w:hanging="428"/>
      </w:pPr>
      <w:rPr>
        <w:rFonts w:hint="default"/>
        <w:lang w:val="en-US" w:eastAsia="en-US" w:bidi="ar-SA"/>
      </w:rPr>
    </w:lvl>
    <w:lvl w:ilvl="2" w:tplc="1250EF86">
      <w:numFmt w:val="bullet"/>
      <w:lvlText w:val="•"/>
      <w:lvlJc w:val="left"/>
      <w:pPr>
        <w:ind w:left="2299" w:hanging="428"/>
      </w:pPr>
      <w:rPr>
        <w:rFonts w:hint="default"/>
        <w:lang w:val="en-US" w:eastAsia="en-US" w:bidi="ar-SA"/>
      </w:rPr>
    </w:lvl>
    <w:lvl w:ilvl="3" w:tplc="6D3E7E14">
      <w:numFmt w:val="bullet"/>
      <w:lvlText w:val="•"/>
      <w:lvlJc w:val="left"/>
      <w:pPr>
        <w:ind w:left="3179" w:hanging="428"/>
      </w:pPr>
      <w:rPr>
        <w:rFonts w:hint="default"/>
        <w:lang w:val="en-US" w:eastAsia="en-US" w:bidi="ar-SA"/>
      </w:rPr>
    </w:lvl>
    <w:lvl w:ilvl="4" w:tplc="52087190">
      <w:numFmt w:val="bullet"/>
      <w:lvlText w:val="•"/>
      <w:lvlJc w:val="left"/>
      <w:pPr>
        <w:ind w:left="4059" w:hanging="428"/>
      </w:pPr>
      <w:rPr>
        <w:rFonts w:hint="default"/>
        <w:lang w:val="en-US" w:eastAsia="en-US" w:bidi="ar-SA"/>
      </w:rPr>
    </w:lvl>
    <w:lvl w:ilvl="5" w:tplc="401858BC">
      <w:numFmt w:val="bullet"/>
      <w:lvlText w:val="•"/>
      <w:lvlJc w:val="left"/>
      <w:pPr>
        <w:ind w:left="4939" w:hanging="428"/>
      </w:pPr>
      <w:rPr>
        <w:rFonts w:hint="default"/>
        <w:lang w:val="en-US" w:eastAsia="en-US" w:bidi="ar-SA"/>
      </w:rPr>
    </w:lvl>
    <w:lvl w:ilvl="6" w:tplc="912840B4">
      <w:numFmt w:val="bullet"/>
      <w:lvlText w:val="•"/>
      <w:lvlJc w:val="left"/>
      <w:pPr>
        <w:ind w:left="5819" w:hanging="428"/>
      </w:pPr>
      <w:rPr>
        <w:rFonts w:hint="default"/>
        <w:lang w:val="en-US" w:eastAsia="en-US" w:bidi="ar-SA"/>
      </w:rPr>
    </w:lvl>
    <w:lvl w:ilvl="7" w:tplc="C3B80610">
      <w:numFmt w:val="bullet"/>
      <w:lvlText w:val="•"/>
      <w:lvlJc w:val="left"/>
      <w:pPr>
        <w:ind w:left="6699" w:hanging="428"/>
      </w:pPr>
      <w:rPr>
        <w:rFonts w:hint="default"/>
        <w:lang w:val="en-US" w:eastAsia="en-US" w:bidi="ar-SA"/>
      </w:rPr>
    </w:lvl>
    <w:lvl w:ilvl="8" w:tplc="DBF28D26">
      <w:numFmt w:val="bullet"/>
      <w:lvlText w:val="•"/>
      <w:lvlJc w:val="left"/>
      <w:pPr>
        <w:ind w:left="7579" w:hanging="428"/>
      </w:pPr>
      <w:rPr>
        <w:rFonts w:hint="default"/>
        <w:lang w:val="en-US" w:eastAsia="en-US" w:bidi="ar-SA"/>
      </w:rPr>
    </w:lvl>
  </w:abstractNum>
  <w:abstractNum w:abstractNumId="7" w15:restartNumberingAfterBreak="0">
    <w:nsid w:val="6F381198"/>
    <w:multiLevelType w:val="hybridMultilevel"/>
    <w:tmpl w:val="2C12FC0C"/>
    <w:lvl w:ilvl="0" w:tplc="0DFE1564">
      <w:start w:val="1"/>
      <w:numFmt w:val="upperLetter"/>
      <w:lvlText w:val="%1."/>
      <w:lvlJc w:val="left"/>
      <w:pPr>
        <w:ind w:left="544" w:hanging="428"/>
      </w:pPr>
      <w:rPr>
        <w:rFonts w:ascii="Carlito" w:eastAsia="Carlito" w:hAnsi="Carlito" w:cs="Carlito" w:hint="default"/>
        <w:b/>
        <w:bCs/>
        <w:i/>
        <w:w w:val="100"/>
        <w:sz w:val="22"/>
        <w:szCs w:val="22"/>
        <w:lang w:val="en-US" w:eastAsia="en-US" w:bidi="ar-SA"/>
      </w:rPr>
    </w:lvl>
    <w:lvl w:ilvl="1" w:tplc="0AB072B8">
      <w:start w:val="1"/>
      <w:numFmt w:val="decimal"/>
      <w:lvlText w:val="%2."/>
      <w:lvlJc w:val="left"/>
      <w:pPr>
        <w:ind w:left="1216" w:hanging="361"/>
      </w:pPr>
      <w:rPr>
        <w:rFonts w:ascii="Carlito" w:eastAsia="Carlito" w:hAnsi="Carlito" w:cs="Carlito" w:hint="default"/>
        <w:i/>
        <w:w w:val="100"/>
        <w:sz w:val="22"/>
        <w:szCs w:val="22"/>
        <w:lang w:val="en-US" w:eastAsia="en-US" w:bidi="ar-SA"/>
      </w:rPr>
    </w:lvl>
    <w:lvl w:ilvl="2" w:tplc="8F3A0722">
      <w:numFmt w:val="bullet"/>
      <w:lvlText w:val="•"/>
      <w:lvlJc w:val="left"/>
      <w:pPr>
        <w:ind w:left="2122" w:hanging="361"/>
      </w:pPr>
      <w:rPr>
        <w:rFonts w:hint="default"/>
        <w:lang w:val="en-US" w:eastAsia="en-US" w:bidi="ar-SA"/>
      </w:rPr>
    </w:lvl>
    <w:lvl w:ilvl="3" w:tplc="1480F00E">
      <w:numFmt w:val="bullet"/>
      <w:lvlText w:val="•"/>
      <w:lvlJc w:val="left"/>
      <w:pPr>
        <w:ind w:left="3024" w:hanging="361"/>
      </w:pPr>
      <w:rPr>
        <w:rFonts w:hint="default"/>
        <w:lang w:val="en-US" w:eastAsia="en-US" w:bidi="ar-SA"/>
      </w:rPr>
    </w:lvl>
    <w:lvl w:ilvl="4" w:tplc="E384BA4E">
      <w:numFmt w:val="bullet"/>
      <w:lvlText w:val="•"/>
      <w:lvlJc w:val="left"/>
      <w:pPr>
        <w:ind w:left="3926" w:hanging="361"/>
      </w:pPr>
      <w:rPr>
        <w:rFonts w:hint="default"/>
        <w:lang w:val="en-US" w:eastAsia="en-US" w:bidi="ar-SA"/>
      </w:rPr>
    </w:lvl>
    <w:lvl w:ilvl="5" w:tplc="C136F13C">
      <w:numFmt w:val="bullet"/>
      <w:lvlText w:val="•"/>
      <w:lvlJc w:val="left"/>
      <w:pPr>
        <w:ind w:left="4828" w:hanging="361"/>
      </w:pPr>
      <w:rPr>
        <w:rFonts w:hint="default"/>
        <w:lang w:val="en-US" w:eastAsia="en-US" w:bidi="ar-SA"/>
      </w:rPr>
    </w:lvl>
    <w:lvl w:ilvl="6" w:tplc="2F66E3D4">
      <w:numFmt w:val="bullet"/>
      <w:lvlText w:val="•"/>
      <w:lvlJc w:val="left"/>
      <w:pPr>
        <w:ind w:left="5730" w:hanging="361"/>
      </w:pPr>
      <w:rPr>
        <w:rFonts w:hint="default"/>
        <w:lang w:val="en-US" w:eastAsia="en-US" w:bidi="ar-SA"/>
      </w:rPr>
    </w:lvl>
    <w:lvl w:ilvl="7" w:tplc="E8E066A4">
      <w:numFmt w:val="bullet"/>
      <w:lvlText w:val="•"/>
      <w:lvlJc w:val="left"/>
      <w:pPr>
        <w:ind w:left="6632" w:hanging="361"/>
      </w:pPr>
      <w:rPr>
        <w:rFonts w:hint="default"/>
        <w:lang w:val="en-US" w:eastAsia="en-US" w:bidi="ar-SA"/>
      </w:rPr>
    </w:lvl>
    <w:lvl w:ilvl="8" w:tplc="319A7012">
      <w:numFmt w:val="bullet"/>
      <w:lvlText w:val="•"/>
      <w:lvlJc w:val="left"/>
      <w:pPr>
        <w:ind w:left="7534" w:hanging="361"/>
      </w:pPr>
      <w:rPr>
        <w:rFonts w:hint="default"/>
        <w:lang w:val="en-US" w:eastAsia="en-US" w:bidi="ar-SA"/>
      </w:rPr>
    </w:lvl>
  </w:abstractNum>
  <w:num w:numId="1">
    <w:abstractNumId w:val="3"/>
  </w:num>
  <w:num w:numId="2">
    <w:abstractNumId w:val="6"/>
  </w:num>
  <w:num w:numId="3">
    <w:abstractNumId w:val="5"/>
  </w:num>
  <w:num w:numId="4">
    <w:abstractNumId w:val="0"/>
  </w:num>
  <w:num w:numId="5">
    <w:abstractNumId w:val="7"/>
  </w:num>
  <w:num w:numId="6">
    <w:abstractNumId w:val="1"/>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496B"/>
    <w:rsid w:val="00013F8F"/>
    <w:rsid w:val="00033248"/>
    <w:rsid w:val="0006317A"/>
    <w:rsid w:val="0007496B"/>
    <w:rsid w:val="0007551F"/>
    <w:rsid w:val="000A68C5"/>
    <w:rsid w:val="000E5CB6"/>
    <w:rsid w:val="000F1D02"/>
    <w:rsid w:val="000F4E0B"/>
    <w:rsid w:val="001002DB"/>
    <w:rsid w:val="001300E5"/>
    <w:rsid w:val="00173E24"/>
    <w:rsid w:val="001752D8"/>
    <w:rsid w:val="001B5B11"/>
    <w:rsid w:val="001C013E"/>
    <w:rsid w:val="001E3EB1"/>
    <w:rsid w:val="002009E8"/>
    <w:rsid w:val="002A1C92"/>
    <w:rsid w:val="002C69E1"/>
    <w:rsid w:val="002D380E"/>
    <w:rsid w:val="00355054"/>
    <w:rsid w:val="00383D96"/>
    <w:rsid w:val="003F5ECD"/>
    <w:rsid w:val="004832FF"/>
    <w:rsid w:val="00514062"/>
    <w:rsid w:val="00561516"/>
    <w:rsid w:val="0058355A"/>
    <w:rsid w:val="005E1D2D"/>
    <w:rsid w:val="00622597"/>
    <w:rsid w:val="00654A78"/>
    <w:rsid w:val="00671F53"/>
    <w:rsid w:val="006A168E"/>
    <w:rsid w:val="006A56E5"/>
    <w:rsid w:val="00713B50"/>
    <w:rsid w:val="0076008A"/>
    <w:rsid w:val="00785F83"/>
    <w:rsid w:val="007F0515"/>
    <w:rsid w:val="007F08E5"/>
    <w:rsid w:val="007F1D15"/>
    <w:rsid w:val="007F47A1"/>
    <w:rsid w:val="007F5D1C"/>
    <w:rsid w:val="008169D1"/>
    <w:rsid w:val="008177F1"/>
    <w:rsid w:val="00821960"/>
    <w:rsid w:val="00831B6D"/>
    <w:rsid w:val="00882EC6"/>
    <w:rsid w:val="008864A7"/>
    <w:rsid w:val="008A1094"/>
    <w:rsid w:val="008A307D"/>
    <w:rsid w:val="008F2B6C"/>
    <w:rsid w:val="008F491A"/>
    <w:rsid w:val="009247BD"/>
    <w:rsid w:val="00945B7F"/>
    <w:rsid w:val="009608E6"/>
    <w:rsid w:val="009923AA"/>
    <w:rsid w:val="009D2228"/>
    <w:rsid w:val="00A052E7"/>
    <w:rsid w:val="00A64E39"/>
    <w:rsid w:val="00A6519F"/>
    <w:rsid w:val="00A85789"/>
    <w:rsid w:val="00A87D15"/>
    <w:rsid w:val="00A90FAB"/>
    <w:rsid w:val="00B01FFB"/>
    <w:rsid w:val="00B15CCA"/>
    <w:rsid w:val="00B45189"/>
    <w:rsid w:val="00B723AC"/>
    <w:rsid w:val="00B93596"/>
    <w:rsid w:val="00BC384C"/>
    <w:rsid w:val="00BD495D"/>
    <w:rsid w:val="00BE4314"/>
    <w:rsid w:val="00C00516"/>
    <w:rsid w:val="00C067E2"/>
    <w:rsid w:val="00CB3228"/>
    <w:rsid w:val="00CD5053"/>
    <w:rsid w:val="00D30161"/>
    <w:rsid w:val="00D616F9"/>
    <w:rsid w:val="00D63B2A"/>
    <w:rsid w:val="00E013A7"/>
    <w:rsid w:val="00E23907"/>
    <w:rsid w:val="00E56C53"/>
    <w:rsid w:val="00E86159"/>
    <w:rsid w:val="00E877E0"/>
    <w:rsid w:val="00E92472"/>
    <w:rsid w:val="00E96AE9"/>
    <w:rsid w:val="00EA21C4"/>
    <w:rsid w:val="00F4440B"/>
    <w:rsid w:val="00F55DE1"/>
    <w:rsid w:val="00F77AB4"/>
    <w:rsid w:val="00FA7D2F"/>
    <w:rsid w:val="00FC2800"/>
    <w:rsid w:val="00FC7405"/>
    <w:rsid w:val="00FD5D16"/>
    <w:rsid w:val="00FF20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53B1A"/>
  <w15:chartTrackingRefBased/>
  <w15:docId w15:val="{5B23864D-A627-40DD-A2F8-3500BBF1E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7AB4"/>
    <w:rPr>
      <w:lang w:val="en-US"/>
    </w:rPr>
  </w:style>
  <w:style w:type="paragraph" w:styleId="Heading1">
    <w:name w:val="heading 1"/>
    <w:basedOn w:val="Normal"/>
    <w:link w:val="Heading1Char"/>
    <w:uiPriority w:val="9"/>
    <w:qFormat/>
    <w:rsid w:val="0007496B"/>
    <w:pPr>
      <w:widowControl w:val="0"/>
      <w:autoSpaceDE w:val="0"/>
      <w:autoSpaceDN w:val="0"/>
      <w:spacing w:after="0" w:line="240" w:lineRule="auto"/>
      <w:ind w:left="464" w:hanging="721"/>
      <w:outlineLvl w:val="0"/>
    </w:pPr>
    <w:rPr>
      <w:rFonts w:ascii="Carlito" w:eastAsia="Carlito" w:hAnsi="Carlito" w:cs="Carlito"/>
      <w:b/>
      <w:bCs/>
    </w:rPr>
  </w:style>
  <w:style w:type="paragraph" w:styleId="Heading2">
    <w:name w:val="heading 2"/>
    <w:basedOn w:val="Normal"/>
    <w:link w:val="Heading2Char"/>
    <w:uiPriority w:val="9"/>
    <w:unhideWhenUsed/>
    <w:qFormat/>
    <w:rsid w:val="0007496B"/>
    <w:pPr>
      <w:widowControl w:val="0"/>
      <w:autoSpaceDE w:val="0"/>
      <w:autoSpaceDN w:val="0"/>
      <w:spacing w:before="120" w:after="0" w:line="240" w:lineRule="auto"/>
      <w:ind w:left="544" w:hanging="428"/>
      <w:outlineLvl w:val="1"/>
    </w:pPr>
    <w:rPr>
      <w:rFonts w:ascii="Carlito" w:eastAsia="Carlito" w:hAnsi="Carlito" w:cs="Carlito"/>
      <w:b/>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496B"/>
    <w:rPr>
      <w:rFonts w:ascii="Carlito" w:eastAsia="Carlito" w:hAnsi="Carlito" w:cs="Carlito"/>
      <w:b/>
      <w:bCs/>
      <w:lang w:val="en-US"/>
    </w:rPr>
  </w:style>
  <w:style w:type="character" w:customStyle="1" w:styleId="Heading2Char">
    <w:name w:val="Heading 2 Char"/>
    <w:basedOn w:val="DefaultParagraphFont"/>
    <w:link w:val="Heading2"/>
    <w:uiPriority w:val="9"/>
    <w:rsid w:val="0007496B"/>
    <w:rPr>
      <w:rFonts w:ascii="Carlito" w:eastAsia="Carlito" w:hAnsi="Carlito" w:cs="Carlito"/>
      <w:b/>
      <w:bCs/>
      <w:i/>
      <w:lang w:val="en-US"/>
    </w:rPr>
  </w:style>
  <w:style w:type="paragraph" w:styleId="ListParagraph">
    <w:name w:val="List Paragraph"/>
    <w:basedOn w:val="Normal"/>
    <w:uiPriority w:val="34"/>
    <w:qFormat/>
    <w:rsid w:val="0007496B"/>
    <w:pPr>
      <w:ind w:left="720"/>
      <w:contextualSpacing/>
    </w:pPr>
  </w:style>
  <w:style w:type="paragraph" w:styleId="BodyText">
    <w:name w:val="Body Text"/>
    <w:basedOn w:val="Normal"/>
    <w:link w:val="BodyTextChar"/>
    <w:uiPriority w:val="1"/>
    <w:qFormat/>
    <w:rsid w:val="0007496B"/>
    <w:pPr>
      <w:widowControl w:val="0"/>
      <w:autoSpaceDE w:val="0"/>
      <w:autoSpaceDN w:val="0"/>
      <w:spacing w:before="120" w:after="0" w:line="240" w:lineRule="auto"/>
      <w:ind w:left="1215" w:hanging="361"/>
    </w:pPr>
    <w:rPr>
      <w:rFonts w:ascii="Carlito" w:eastAsia="Carlito" w:hAnsi="Carlito" w:cs="Carlito"/>
      <w:i/>
    </w:rPr>
  </w:style>
  <w:style w:type="character" w:customStyle="1" w:styleId="BodyTextChar">
    <w:name w:val="Body Text Char"/>
    <w:basedOn w:val="DefaultParagraphFont"/>
    <w:link w:val="BodyText"/>
    <w:uiPriority w:val="1"/>
    <w:rsid w:val="0007496B"/>
    <w:rPr>
      <w:rFonts w:ascii="Carlito" w:eastAsia="Carlito" w:hAnsi="Carlito" w:cs="Carlito"/>
      <w:i/>
      <w:lang w:val="en-US"/>
    </w:rPr>
  </w:style>
  <w:style w:type="paragraph" w:styleId="FootnoteText">
    <w:name w:val="footnote text"/>
    <w:basedOn w:val="Normal"/>
    <w:link w:val="FootnoteTextChar"/>
    <w:uiPriority w:val="99"/>
    <w:semiHidden/>
    <w:unhideWhenUsed/>
    <w:rsid w:val="0007496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7496B"/>
    <w:rPr>
      <w:sz w:val="20"/>
      <w:szCs w:val="20"/>
      <w:lang w:val="en-US"/>
    </w:rPr>
  </w:style>
  <w:style w:type="character" w:styleId="FootnoteReference">
    <w:name w:val="footnote reference"/>
    <w:basedOn w:val="DefaultParagraphFont"/>
    <w:uiPriority w:val="99"/>
    <w:semiHidden/>
    <w:unhideWhenUsed/>
    <w:rsid w:val="0007496B"/>
    <w:rPr>
      <w:vertAlign w:val="superscript"/>
    </w:rPr>
  </w:style>
  <w:style w:type="character" w:styleId="Hyperlink">
    <w:name w:val="Hyperlink"/>
    <w:basedOn w:val="DefaultParagraphFont"/>
    <w:uiPriority w:val="99"/>
    <w:unhideWhenUsed/>
    <w:rsid w:val="00E013A7"/>
    <w:rPr>
      <w:color w:val="0563C1" w:themeColor="hyperlink"/>
      <w:u w:val="single"/>
    </w:rPr>
  </w:style>
  <w:style w:type="character" w:customStyle="1" w:styleId="UnresolvedMention">
    <w:name w:val="Unresolved Mention"/>
    <w:basedOn w:val="DefaultParagraphFont"/>
    <w:uiPriority w:val="99"/>
    <w:semiHidden/>
    <w:unhideWhenUsed/>
    <w:rsid w:val="00E013A7"/>
    <w:rPr>
      <w:color w:val="605E5C"/>
      <w:shd w:val="clear" w:color="auto" w:fill="E1DFDD"/>
    </w:rPr>
  </w:style>
  <w:style w:type="character" w:styleId="CommentReference">
    <w:name w:val="annotation reference"/>
    <w:basedOn w:val="DefaultParagraphFont"/>
    <w:uiPriority w:val="99"/>
    <w:semiHidden/>
    <w:unhideWhenUsed/>
    <w:rsid w:val="00E96AE9"/>
    <w:rPr>
      <w:sz w:val="16"/>
      <w:szCs w:val="16"/>
    </w:rPr>
  </w:style>
  <w:style w:type="paragraph" w:styleId="CommentText">
    <w:name w:val="annotation text"/>
    <w:basedOn w:val="Normal"/>
    <w:link w:val="CommentTextChar"/>
    <w:uiPriority w:val="99"/>
    <w:unhideWhenUsed/>
    <w:rsid w:val="00E96AE9"/>
    <w:pPr>
      <w:spacing w:line="240" w:lineRule="auto"/>
    </w:pPr>
    <w:rPr>
      <w:sz w:val="20"/>
      <w:szCs w:val="20"/>
    </w:rPr>
  </w:style>
  <w:style w:type="character" w:customStyle="1" w:styleId="CommentTextChar">
    <w:name w:val="Comment Text Char"/>
    <w:basedOn w:val="DefaultParagraphFont"/>
    <w:link w:val="CommentText"/>
    <w:uiPriority w:val="99"/>
    <w:rsid w:val="00E96AE9"/>
    <w:rPr>
      <w:sz w:val="20"/>
      <w:szCs w:val="20"/>
      <w:lang w:val="en-US"/>
    </w:rPr>
  </w:style>
  <w:style w:type="paragraph" w:styleId="CommentSubject">
    <w:name w:val="annotation subject"/>
    <w:basedOn w:val="CommentText"/>
    <w:next w:val="CommentText"/>
    <w:link w:val="CommentSubjectChar"/>
    <w:uiPriority w:val="99"/>
    <w:semiHidden/>
    <w:unhideWhenUsed/>
    <w:rsid w:val="00E96AE9"/>
    <w:rPr>
      <w:b/>
      <w:bCs/>
    </w:rPr>
  </w:style>
  <w:style w:type="character" w:customStyle="1" w:styleId="CommentSubjectChar">
    <w:name w:val="Comment Subject Char"/>
    <w:basedOn w:val="CommentTextChar"/>
    <w:link w:val="CommentSubject"/>
    <w:uiPriority w:val="99"/>
    <w:semiHidden/>
    <w:rsid w:val="00E96AE9"/>
    <w:rPr>
      <w:b/>
      <w:bCs/>
      <w:sz w:val="20"/>
      <w:szCs w:val="20"/>
      <w:lang w:val="en-US"/>
    </w:rPr>
  </w:style>
  <w:style w:type="paragraph" w:customStyle="1" w:styleId="H23G">
    <w:name w:val="_ H_2/3_G"/>
    <w:basedOn w:val="Normal"/>
    <w:next w:val="Normal"/>
    <w:qFormat/>
    <w:rsid w:val="00654A78"/>
    <w:pPr>
      <w:keepNext/>
      <w:keepLines/>
      <w:tabs>
        <w:tab w:val="right" w:pos="851"/>
      </w:tabs>
      <w:spacing w:before="240" w:after="120" w:line="240" w:lineRule="exact"/>
      <w:ind w:left="1134" w:right="1134" w:hanging="1134"/>
    </w:pPr>
    <w:rPr>
      <w:rFonts w:ascii="Times New Roman" w:eastAsia="SimSun" w:hAnsi="Times New Roman" w:cs="Times New Roman"/>
      <w:b/>
      <w:sz w:val="20"/>
      <w:szCs w:val="20"/>
      <w:lang w:val="en-GB" w:eastAsia="zh-CN"/>
    </w:rPr>
  </w:style>
  <w:style w:type="character" w:customStyle="1" w:styleId="SingleTxtGChar">
    <w:name w:val="_ Single Txt_G Char"/>
    <w:basedOn w:val="DefaultParagraphFont"/>
    <w:link w:val="SingleTxtG"/>
    <w:locked/>
    <w:rsid w:val="00654A78"/>
    <w:rPr>
      <w:rFonts w:ascii="Times New Roman" w:hAnsi="Times New Roman" w:cs="Times New Roman"/>
      <w:sz w:val="20"/>
      <w:szCs w:val="20"/>
    </w:rPr>
  </w:style>
  <w:style w:type="paragraph" w:customStyle="1" w:styleId="SingleTxtG">
    <w:name w:val="_ Single Txt_G"/>
    <w:basedOn w:val="Normal"/>
    <w:link w:val="SingleTxtGChar"/>
    <w:qFormat/>
    <w:rsid w:val="00654A78"/>
    <w:pPr>
      <w:spacing w:after="120" w:line="240" w:lineRule="atLeast"/>
      <w:ind w:left="1134" w:right="1134"/>
      <w:jc w:val="both"/>
    </w:pPr>
    <w:rPr>
      <w:rFonts w:ascii="Times New Roman" w:hAnsi="Times New Roman" w:cs="Times New Roman"/>
      <w:sz w:val="20"/>
      <w:szCs w:val="20"/>
      <w:lang w:val="en-GB"/>
    </w:rPr>
  </w:style>
  <w:style w:type="paragraph" w:styleId="BalloonText">
    <w:name w:val="Balloon Text"/>
    <w:basedOn w:val="Normal"/>
    <w:link w:val="BalloonTextChar"/>
    <w:uiPriority w:val="99"/>
    <w:semiHidden/>
    <w:unhideWhenUsed/>
    <w:rsid w:val="001E3E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3EB1"/>
    <w:rPr>
      <w:rFonts w:ascii="Segoe UI" w:hAnsi="Segoe UI" w:cs="Segoe UI"/>
      <w:sz w:val="18"/>
      <w:szCs w:val="18"/>
      <w:lang w:val="en-US"/>
    </w:rPr>
  </w:style>
  <w:style w:type="character" w:styleId="FollowedHyperlink">
    <w:name w:val="FollowedHyperlink"/>
    <w:basedOn w:val="DefaultParagraphFont"/>
    <w:uiPriority w:val="99"/>
    <w:semiHidden/>
    <w:unhideWhenUsed/>
    <w:rsid w:val="001002DB"/>
    <w:rPr>
      <w:color w:val="954F72" w:themeColor="followedHyperlink"/>
      <w:u w:val="single"/>
    </w:rPr>
  </w:style>
  <w:style w:type="paragraph" w:styleId="NormalWeb">
    <w:name w:val="Normal (Web)"/>
    <w:basedOn w:val="Normal"/>
    <w:uiPriority w:val="99"/>
    <w:semiHidden/>
    <w:unhideWhenUsed/>
    <w:rsid w:val="000F1D02"/>
    <w:rPr>
      <w:rFonts w:ascii="Times New Roman" w:hAnsi="Times New Roman" w:cs="Times New Roman"/>
      <w:sz w:val="24"/>
      <w:szCs w:val="24"/>
    </w:rPr>
  </w:style>
  <w:style w:type="character" w:styleId="Strong">
    <w:name w:val="Strong"/>
    <w:basedOn w:val="DefaultParagraphFont"/>
    <w:uiPriority w:val="22"/>
    <w:qFormat/>
    <w:rsid w:val="008864A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4385718">
      <w:bodyDiv w:val="1"/>
      <w:marLeft w:val="0"/>
      <w:marRight w:val="0"/>
      <w:marTop w:val="0"/>
      <w:marBottom w:val="0"/>
      <w:divBdr>
        <w:top w:val="none" w:sz="0" w:space="0" w:color="auto"/>
        <w:left w:val="none" w:sz="0" w:space="0" w:color="auto"/>
        <w:bottom w:val="none" w:sz="0" w:space="0" w:color="auto"/>
        <w:right w:val="none" w:sz="0" w:space="0" w:color="auto"/>
      </w:divBdr>
    </w:div>
    <w:div w:id="291983065">
      <w:bodyDiv w:val="1"/>
      <w:marLeft w:val="0"/>
      <w:marRight w:val="0"/>
      <w:marTop w:val="0"/>
      <w:marBottom w:val="0"/>
      <w:divBdr>
        <w:top w:val="none" w:sz="0" w:space="0" w:color="auto"/>
        <w:left w:val="none" w:sz="0" w:space="0" w:color="auto"/>
        <w:bottom w:val="none" w:sz="0" w:space="0" w:color="auto"/>
        <w:right w:val="none" w:sz="0" w:space="0" w:color="auto"/>
      </w:divBdr>
    </w:div>
    <w:div w:id="294021177">
      <w:bodyDiv w:val="1"/>
      <w:marLeft w:val="0"/>
      <w:marRight w:val="0"/>
      <w:marTop w:val="0"/>
      <w:marBottom w:val="0"/>
      <w:divBdr>
        <w:top w:val="none" w:sz="0" w:space="0" w:color="auto"/>
        <w:left w:val="none" w:sz="0" w:space="0" w:color="auto"/>
        <w:bottom w:val="none" w:sz="0" w:space="0" w:color="auto"/>
        <w:right w:val="none" w:sz="0" w:space="0" w:color="auto"/>
      </w:divBdr>
    </w:div>
    <w:div w:id="1566452889">
      <w:bodyDiv w:val="1"/>
      <w:marLeft w:val="0"/>
      <w:marRight w:val="0"/>
      <w:marTop w:val="0"/>
      <w:marBottom w:val="0"/>
      <w:divBdr>
        <w:top w:val="none" w:sz="0" w:space="0" w:color="auto"/>
        <w:left w:val="none" w:sz="0" w:space="0" w:color="auto"/>
        <w:bottom w:val="none" w:sz="0" w:space="0" w:color="auto"/>
        <w:right w:val="none" w:sz="0" w:space="0" w:color="auto"/>
      </w:divBdr>
    </w:div>
    <w:div w:id="1756592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hchr.org/EN/NewsEvents/Pages/DisplayNews.aspx?NewsID=25522" TargetMode="External"/><Relationship Id="rId13" Type="http://schemas.openxmlformats.org/officeDocument/2006/relationships/hyperlink" Target="https://tbinternet.ohchr.org/_layouts/15/treatybodyexternal/Download.aspx?symbolno=CCPR/C/NLD/CO/5&amp;Lang=En" TargetMode="External"/><Relationship Id="rId18" Type="http://schemas.openxmlformats.org/officeDocument/2006/relationships/hyperlink" Target="https://undocs.org/en/A/HRC/44/57/Add.2" TargetMode="External"/><Relationship Id="rId26" Type="http://schemas.openxmlformats.org/officeDocument/2006/relationships/hyperlink" Target="https://tbinternet.ohchr.org/_layouts/15/treatybodyexternal/Download.aspx?symbolno=CCPR/C/NLD/CO/5&amp;Lang=En" TargetMode="External"/><Relationship Id="rId3" Type="http://schemas.openxmlformats.org/officeDocument/2006/relationships/settings" Target="settings.xml"/><Relationship Id="rId21" Type="http://schemas.openxmlformats.org/officeDocument/2006/relationships/hyperlink" Target="https://tbinternet.ohchr.org/_layouts/15/treatybodyexternal/Download.aspx?symbolno=CAT/C/NLD/CO/7&amp;Lang=En" TargetMode="External"/><Relationship Id="rId7" Type="http://schemas.openxmlformats.org/officeDocument/2006/relationships/hyperlink" Target="https://www.ohchr.org/EN/NewsEvents/Pages/DisplayNews.aspx?NewsID=25450" TargetMode="External"/><Relationship Id="rId12" Type="http://schemas.openxmlformats.org/officeDocument/2006/relationships/hyperlink" Target="https://tbinternet.ohchr.org/_layouts/15/treatybodyexternal/Download.aspx?symbolno=CCPR/C/NLD/CO/5&amp;Lang=En" TargetMode="External"/><Relationship Id="rId17" Type="http://schemas.openxmlformats.org/officeDocument/2006/relationships/hyperlink" Target="https://tbinternet.ohchr.org/_layouts/15/treatybodyexternal/Download.aspx?symbolno=CCPR/C/NLD/CO/5&amp;Lang=En" TargetMode="External"/><Relationship Id="rId25" Type="http://schemas.openxmlformats.org/officeDocument/2006/relationships/hyperlink" Target="https://bit.ly/3qf0tyD" TargetMode="External"/><Relationship Id="rId2" Type="http://schemas.openxmlformats.org/officeDocument/2006/relationships/styles" Target="styles.xml"/><Relationship Id="rId16" Type="http://schemas.openxmlformats.org/officeDocument/2006/relationships/hyperlink" Target="https://undocs.org/en/A/HRC/44/57/Add.2" TargetMode="External"/><Relationship Id="rId20" Type="http://schemas.openxmlformats.org/officeDocument/2006/relationships/hyperlink" Target="https://nhri.ohchr.org/EN/AboutUs/GANHRIAccreditation/Pages/SCA-Reports.aspx"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binternet.ohchr.org/_layouts/15/treatybodyexternal/Download.aspx?symbolno=CCPR/C/NLD/CO/5&amp;Lang=En" TargetMode="External"/><Relationship Id="rId24" Type="http://schemas.openxmlformats.org/officeDocument/2006/relationships/hyperlink" Target="https://undocs.org/en/A/HRC/44/57/Add.2" TargetMode="External"/><Relationship Id="rId5" Type="http://schemas.openxmlformats.org/officeDocument/2006/relationships/footnotes" Target="footnotes.xml"/><Relationship Id="rId15" Type="http://schemas.openxmlformats.org/officeDocument/2006/relationships/hyperlink" Target="https://tbinternet.ohchr.org/_layouts/15/treatybodyexternal/Download.aspx?symbolno=CCPR/C/NLD/CO/5&amp;Lang=En" TargetMode="External"/><Relationship Id="rId23" Type="http://schemas.openxmlformats.org/officeDocument/2006/relationships/hyperlink" Target="https://undocs.org/A/HRC/43/48/Add.1" TargetMode="External"/><Relationship Id="rId28" Type="http://schemas.openxmlformats.org/officeDocument/2006/relationships/fontTable" Target="fontTable.xml"/><Relationship Id="rId10" Type="http://schemas.openxmlformats.org/officeDocument/2006/relationships/hyperlink" Target="https://tbinternet.ohchr.org/_layouts/15/treatybodyexternal/Download.aspx?symbolno=CCPR/C/NLD/CO/5&amp;Lang=En" TargetMode="External"/><Relationship Id="rId19" Type="http://schemas.openxmlformats.org/officeDocument/2006/relationships/hyperlink" Target="https://tbinternet.ohchr.org/_layouts/15/treatybodyexternal/Download.aspx?symbolno=CAT/C/NLD/CO/7&amp;Lang=En" TargetMode="External"/><Relationship Id="rId4" Type="http://schemas.openxmlformats.org/officeDocument/2006/relationships/webSettings" Target="webSettings.xml"/><Relationship Id="rId9" Type="http://schemas.openxmlformats.org/officeDocument/2006/relationships/hyperlink" Target="https://tbinternet.ohchr.org/_layouts/15/treatybodyexternal/Download.aspx?symbolno=CAT/C/NLD/CO/7&amp;Lang=En" TargetMode="External"/><Relationship Id="rId14" Type="http://schemas.openxmlformats.org/officeDocument/2006/relationships/hyperlink" Target="https://tbinternet.ohchr.org/_layouts/15/treatybodyexternal/Download.aspx?symbolno=CAT/C/NLD/CO/7&amp;Lang=En" TargetMode="External"/><Relationship Id="rId22" Type="http://schemas.openxmlformats.org/officeDocument/2006/relationships/hyperlink" Target="https://undocs.org/en/A/HRC/44/57/Add.2" TargetMode="External"/><Relationship Id="rId27" Type="http://schemas.openxmlformats.org/officeDocument/2006/relationships/hyperlink" Target="https://tbinternet.ohchr.org/_layouts/15/treatybodyexternal/Download.aspx?symbolno=CCPR/C/NLD/CO/5&amp;Lang=E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eca.europa.eu/en/Pages/SupremeAuditInstitution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9</Pages>
  <Words>4290</Words>
  <Characters>24453</Characters>
  <Application>Microsoft Office Word</Application>
  <DocSecurity>0</DocSecurity>
  <Lines>203</Lines>
  <Paragraphs>57</Paragraphs>
  <ScaleCrop>false</ScaleCrop>
  <HeadingPairs>
    <vt:vector size="4" baseType="variant">
      <vt:variant>
        <vt:lpstr>Title</vt:lpstr>
      </vt:variant>
      <vt:variant>
        <vt:i4>1</vt:i4>
      </vt:variant>
      <vt:variant>
        <vt:lpstr>Headings</vt:lpstr>
      </vt:variant>
      <vt:variant>
        <vt:i4>36</vt:i4>
      </vt:variant>
    </vt:vector>
  </HeadingPairs>
  <TitlesOfParts>
    <vt:vector size="37" baseType="lpstr">
      <vt:lpstr/>
      <vt:lpstr/>
      <vt:lpstr>REVIEW NETHERLANDS</vt:lpstr>
      <vt:lpstr>    Independence</vt:lpstr>
      <vt:lpstr>    Quality of justice </vt:lpstr>
      <vt:lpstr>    </vt:lpstr>
      <vt:lpstr>    In its 2018 concluding observations, the UN Committee against Torture took note </vt:lpstr>
      <vt:lpstr>    </vt:lpstr>
      <vt:lpstr>    In its 2019 concluding observations, the UN Human Rights Committee appreciated t</vt:lpstr>
      <vt:lpstr>    </vt:lpstr>
      <vt:lpstr>    Efficiency of the justice system </vt:lpstr>
      <vt:lpstr>    </vt:lpstr>
      <vt:lpstr>    Other – please specify</vt:lpstr>
      <vt:lpstr>    </vt:lpstr>
      <vt:lpstr>    </vt:lpstr>
      <vt:lpstr>    </vt:lpstr>
      <vt:lpstr>    Discriminatory crimes - In the 2020 report of her visit to the Netherlands,the U</vt:lpstr>
      <vt:lpstr>    </vt:lpstr>
      <vt:lpstr>    Prevention</vt:lpstr>
      <vt:lpstr>    Repressive measures</vt:lpstr>
      <vt:lpstr>    Other – please specify</vt:lpstr>
      <vt:lpstr>    Transparency of media ownership and government interference</vt:lpstr>
      <vt:lpstr>    Framework for journalists' protection</vt:lpstr>
      <vt:lpstr>    Other – please specify</vt:lpstr>
      <vt:lpstr>    Independent authorities</vt:lpstr>
      <vt:lpstr>    In its 2018 concluding observations, the UN Committee against Torture was concer</vt:lpstr>
      <vt:lpstr>    </vt:lpstr>
      <vt:lpstr>    In December 2020, the Global Alliance for National Human Rights Institutions (GA</vt:lpstr>
      <vt:lpstr>    </vt:lpstr>
      <vt:lpstr>    Accessibility and judicial review of administrative decisions</vt:lpstr>
      <vt:lpstr>    </vt:lpstr>
      <vt:lpstr>    In its 2018 concluding observations, the UN Committee against Torture raised con</vt:lpstr>
      <vt:lpstr>    </vt:lpstr>
      <vt:lpstr>    The UN Special Rapporteur on contemporary forms of racism, racial discrimination</vt:lpstr>
      <vt:lpstr>    The enabling framework for civil society</vt:lpstr>
      <vt:lpstr>    Initiatives to foster a rule of law culture</vt:lpstr>
      <vt:lpstr>    Other – please specify</vt:lpstr>
    </vt:vector>
  </TitlesOfParts>
  <Company/>
  <LinksUpToDate>false</LinksUpToDate>
  <CharactersWithSpaces>28686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BOSMAN Susanne</dc:creator>
  <cp:keywords/>
  <dc:description/>
  <cp:lastModifiedBy>Marie-Dominique</cp:lastModifiedBy>
  <cp:revision>4</cp:revision>
  <dcterms:created xsi:type="dcterms:W3CDTF">2021-03-03T16:57:00Z</dcterms:created>
  <dcterms:modified xsi:type="dcterms:W3CDTF">2021-03-03T22:18:00Z</dcterms:modified>
</cp:coreProperties>
</file>